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80C2F" w14:textId="77777777" w:rsidR="00322207" w:rsidRDefault="00322207" w:rsidP="00322207">
      <w:pPr>
        <w:spacing w:line="276" w:lineRule="auto"/>
      </w:pPr>
    </w:p>
    <w:p w14:paraId="7C43937D" w14:textId="77777777" w:rsidR="00322207" w:rsidRPr="00A42B20" w:rsidRDefault="00322207" w:rsidP="00322207">
      <w:pPr>
        <w:spacing w:line="276" w:lineRule="auto"/>
        <w:jc w:val="center"/>
        <w:rPr>
          <w:rFonts w:ascii="Calibri" w:hAnsi="Calibri" w:cs="Calibri"/>
          <w:b/>
          <w:bCs/>
          <w:color w:val="231F20"/>
          <w:w w:val="105"/>
          <w:sz w:val="22"/>
          <w:szCs w:val="22"/>
          <w:u w:val="single"/>
        </w:rPr>
      </w:pPr>
      <w:r w:rsidRPr="00A42B20">
        <w:rPr>
          <w:rFonts w:ascii="Calibri" w:hAnsi="Calibri" w:cs="Calibri"/>
          <w:b/>
          <w:bCs/>
          <w:color w:val="231F20"/>
          <w:w w:val="105"/>
          <w:sz w:val="22"/>
          <w:szCs w:val="22"/>
          <w:u w:val="single"/>
        </w:rPr>
        <w:t>TRAINING SUB-COMMITTEE</w:t>
      </w:r>
    </w:p>
    <w:p w14:paraId="477E2456" w14:textId="77777777" w:rsidR="00322207" w:rsidRPr="00A42B20" w:rsidRDefault="00322207" w:rsidP="00322207">
      <w:pPr>
        <w:spacing w:line="276" w:lineRule="auto"/>
        <w:jc w:val="center"/>
        <w:rPr>
          <w:rFonts w:ascii="Calibri" w:hAnsi="Calibri" w:cs="Calibri"/>
          <w:b/>
          <w:bCs/>
          <w:color w:val="231F20"/>
          <w:w w:val="105"/>
          <w:sz w:val="22"/>
          <w:szCs w:val="22"/>
          <w:u w:val="single"/>
        </w:rPr>
      </w:pPr>
    </w:p>
    <w:p w14:paraId="4D44CFE2" w14:textId="77777777" w:rsidR="00322207" w:rsidRPr="00A42B20" w:rsidRDefault="00322207" w:rsidP="00322207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42B20">
        <w:rPr>
          <w:rFonts w:ascii="Calibri" w:hAnsi="Calibri" w:cs="Calibri"/>
          <w:b/>
          <w:bCs/>
          <w:color w:val="231F20"/>
          <w:w w:val="105"/>
          <w:sz w:val="22"/>
          <w:szCs w:val="22"/>
          <w:u w:val="single"/>
        </w:rPr>
        <w:t>TERMS OF REFERENCE</w:t>
      </w:r>
    </w:p>
    <w:p w14:paraId="63E7E65E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27D991C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67B5C4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42B20">
        <w:rPr>
          <w:rFonts w:ascii="Calibri" w:hAnsi="Calibri" w:cs="Calibri"/>
          <w:b/>
          <w:bCs/>
          <w:sz w:val="22"/>
          <w:szCs w:val="22"/>
        </w:rPr>
        <w:t>1.  Training Sub-Committee</w:t>
      </w:r>
    </w:p>
    <w:p w14:paraId="20B4FDF1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7EC2F1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1.1.  There shall be a Training Sub-Committee</w:t>
      </w:r>
      <w:r>
        <w:rPr>
          <w:rFonts w:ascii="Calibri" w:hAnsi="Calibri" w:cs="Calibri"/>
          <w:sz w:val="22"/>
          <w:szCs w:val="22"/>
        </w:rPr>
        <w:t>, which will be a sub-committee of the Executive Committee.</w:t>
      </w:r>
    </w:p>
    <w:p w14:paraId="4C0980D3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A0005C" w14:textId="1D2CC444" w:rsidR="00322207" w:rsidRPr="00596AE2" w:rsidRDefault="00322207" w:rsidP="00322207">
      <w:pPr>
        <w:spacing w:line="276" w:lineRule="auto"/>
        <w:jc w:val="both"/>
        <w:rPr>
          <w:rFonts w:ascii="Calibri" w:hAnsi="Calibri" w:cs="Calibri"/>
          <w:color w:val="231F20"/>
          <w:w w:val="105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 xml:space="preserve">1.2.  The purpose of the Training Sub-Committee is to </w:t>
      </w:r>
      <w:r w:rsidR="00C72D82">
        <w:rPr>
          <w:rFonts w:ascii="Calibri" w:hAnsi="Calibri" w:cs="Calibri"/>
          <w:sz w:val="22"/>
          <w:szCs w:val="22"/>
        </w:rPr>
        <w:t xml:space="preserve">contribute to the IAP’s </w:t>
      </w:r>
      <w:r w:rsidRPr="00A42B20">
        <w:rPr>
          <w:rFonts w:ascii="Calibri" w:hAnsi="Calibri" w:cs="Calibri"/>
          <w:color w:val="231F20"/>
          <w:w w:val="105"/>
          <w:sz w:val="22"/>
          <w:szCs w:val="22"/>
        </w:rPr>
        <w:t>programme</w:t>
      </w:r>
      <w:r w:rsidRPr="00A42B20">
        <w:rPr>
          <w:rFonts w:ascii="Calibri" w:hAnsi="Calibri" w:cs="Calibri"/>
          <w:color w:val="231F20"/>
          <w:spacing w:val="-10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w w:val="105"/>
          <w:sz w:val="22"/>
          <w:szCs w:val="22"/>
        </w:rPr>
        <w:t>of</w:t>
      </w:r>
      <w:r w:rsidRPr="00A42B20">
        <w:rPr>
          <w:rFonts w:ascii="Calibri" w:hAnsi="Calibri" w:cs="Calibri"/>
          <w:color w:val="231F20"/>
          <w:spacing w:val="-10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w w:val="105"/>
          <w:sz w:val="22"/>
          <w:szCs w:val="22"/>
        </w:rPr>
        <w:t>training</w:t>
      </w:r>
      <w:r w:rsidRPr="00A42B20">
        <w:rPr>
          <w:rFonts w:ascii="Calibri" w:hAnsi="Calibri" w:cs="Calibri"/>
          <w:color w:val="231F20"/>
          <w:spacing w:val="-10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w w:val="105"/>
          <w:sz w:val="22"/>
          <w:szCs w:val="22"/>
        </w:rPr>
        <w:t>and capacity building</w:t>
      </w:r>
      <w:r w:rsidR="003214CD">
        <w:rPr>
          <w:rFonts w:ascii="Calibri" w:hAnsi="Calibri" w:cs="Calibri"/>
          <w:color w:val="231F20"/>
          <w:w w:val="105"/>
          <w:sz w:val="22"/>
          <w:szCs w:val="22"/>
        </w:rPr>
        <w:t xml:space="preserve">, ensuring </w:t>
      </w:r>
      <w:r w:rsidRPr="00A42B20">
        <w:rPr>
          <w:rFonts w:ascii="Calibri" w:hAnsi="Calibri" w:cs="Calibri"/>
          <w:color w:val="231F20"/>
          <w:w w:val="105"/>
          <w:sz w:val="22"/>
          <w:szCs w:val="22"/>
        </w:rPr>
        <w:t xml:space="preserve">that is globally and/or regionally accessible and </w:t>
      </w:r>
      <w:r w:rsidRPr="00A42B20">
        <w:rPr>
          <w:rFonts w:ascii="Calibri" w:hAnsi="Calibri" w:cs="Calibri"/>
          <w:color w:val="231F20"/>
          <w:spacing w:val="-2"/>
          <w:w w:val="105"/>
          <w:sz w:val="22"/>
          <w:szCs w:val="22"/>
        </w:rPr>
        <w:t>developed</w:t>
      </w:r>
      <w:r w:rsidRPr="00A42B20">
        <w:rPr>
          <w:rFonts w:ascii="Calibri" w:hAnsi="Calibri" w:cs="Calibri"/>
          <w:color w:val="231F20"/>
          <w:spacing w:val="-7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w w:val="105"/>
          <w:sz w:val="22"/>
          <w:szCs w:val="22"/>
        </w:rPr>
        <w:t>in</w:t>
      </w:r>
      <w:r w:rsidRPr="00A42B20">
        <w:rPr>
          <w:rFonts w:ascii="Calibri" w:hAnsi="Calibri" w:cs="Calibri"/>
          <w:color w:val="231F20"/>
          <w:spacing w:val="-7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w w:val="105"/>
          <w:sz w:val="22"/>
          <w:szCs w:val="22"/>
        </w:rPr>
        <w:t>accordance</w:t>
      </w:r>
      <w:r w:rsidRPr="00A42B20">
        <w:rPr>
          <w:rFonts w:ascii="Calibri" w:hAnsi="Calibri" w:cs="Calibri"/>
          <w:color w:val="231F20"/>
          <w:spacing w:val="-7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w w:val="105"/>
          <w:sz w:val="22"/>
          <w:szCs w:val="22"/>
        </w:rPr>
        <w:t>with</w:t>
      </w:r>
      <w:r w:rsidRPr="00A42B20">
        <w:rPr>
          <w:rFonts w:ascii="Calibri" w:hAnsi="Calibri" w:cs="Calibri"/>
          <w:color w:val="231F20"/>
          <w:spacing w:val="-7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w w:val="105"/>
          <w:sz w:val="22"/>
          <w:szCs w:val="22"/>
        </w:rPr>
        <w:t>the</w:t>
      </w:r>
      <w:r w:rsidRPr="00A42B20">
        <w:rPr>
          <w:rFonts w:ascii="Calibri" w:hAnsi="Calibri" w:cs="Calibri"/>
          <w:color w:val="231F20"/>
          <w:spacing w:val="-7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w w:val="105"/>
          <w:sz w:val="22"/>
          <w:szCs w:val="22"/>
        </w:rPr>
        <w:t>aims</w:t>
      </w:r>
      <w:r w:rsidRPr="00A42B20">
        <w:rPr>
          <w:rFonts w:ascii="Calibri" w:hAnsi="Calibri" w:cs="Calibri"/>
          <w:color w:val="231F20"/>
          <w:spacing w:val="-7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w w:val="105"/>
          <w:sz w:val="22"/>
          <w:szCs w:val="22"/>
        </w:rPr>
        <w:t>and</w:t>
      </w:r>
      <w:r w:rsidRPr="00A42B20">
        <w:rPr>
          <w:rFonts w:ascii="Calibri" w:hAnsi="Calibri" w:cs="Calibri"/>
          <w:color w:val="231F20"/>
          <w:spacing w:val="-7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w w:val="105"/>
          <w:sz w:val="22"/>
          <w:szCs w:val="22"/>
        </w:rPr>
        <w:t>objectives</w:t>
      </w:r>
      <w:r w:rsidRPr="00A42B20">
        <w:rPr>
          <w:rFonts w:ascii="Calibri" w:hAnsi="Calibri" w:cs="Calibri"/>
          <w:color w:val="231F20"/>
          <w:spacing w:val="-7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w w:val="105"/>
          <w:sz w:val="22"/>
          <w:szCs w:val="22"/>
        </w:rPr>
        <w:t>of</w:t>
      </w:r>
      <w:r w:rsidRPr="00A42B20">
        <w:rPr>
          <w:rFonts w:ascii="Calibri" w:hAnsi="Calibri" w:cs="Calibri"/>
          <w:color w:val="231F20"/>
          <w:spacing w:val="-7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w w:val="105"/>
          <w:sz w:val="22"/>
          <w:szCs w:val="22"/>
        </w:rPr>
        <w:t>the</w:t>
      </w:r>
      <w:r w:rsidRPr="00A42B20">
        <w:rPr>
          <w:rFonts w:ascii="Calibri" w:hAnsi="Calibri" w:cs="Calibri"/>
          <w:color w:val="231F20"/>
          <w:spacing w:val="-6"/>
          <w:w w:val="105"/>
          <w:sz w:val="22"/>
          <w:szCs w:val="22"/>
        </w:rPr>
        <w:t xml:space="preserve"> </w:t>
      </w:r>
      <w:r w:rsidRPr="00A42B20">
        <w:rPr>
          <w:rFonts w:ascii="Calibri" w:hAnsi="Calibri" w:cs="Calibri"/>
          <w:bCs/>
          <w:color w:val="231F20"/>
          <w:spacing w:val="-2"/>
          <w:w w:val="105"/>
          <w:sz w:val="22"/>
          <w:szCs w:val="22"/>
        </w:rPr>
        <w:t xml:space="preserve">Global </w:t>
      </w:r>
      <w:r w:rsidRPr="00A42B20">
        <w:rPr>
          <w:rFonts w:ascii="Calibri" w:hAnsi="Calibri" w:cs="Calibri"/>
          <w:bCs/>
          <w:color w:val="231F20"/>
          <w:w w:val="105"/>
          <w:sz w:val="22"/>
          <w:szCs w:val="22"/>
        </w:rPr>
        <w:t xml:space="preserve">Training Academy </w:t>
      </w:r>
      <w:r>
        <w:rPr>
          <w:rFonts w:ascii="Calibri" w:hAnsi="Calibri" w:cs="Calibri"/>
          <w:bCs/>
          <w:color w:val="231F20"/>
          <w:w w:val="105"/>
          <w:sz w:val="22"/>
          <w:szCs w:val="22"/>
        </w:rPr>
        <w:t>and the IAP Objects</w:t>
      </w:r>
      <w:r w:rsidRPr="00A42B20">
        <w:rPr>
          <w:rFonts w:ascii="Calibri" w:hAnsi="Calibri" w:cs="Calibri"/>
          <w:color w:val="231F20"/>
          <w:w w:val="105"/>
          <w:sz w:val="22"/>
          <w:szCs w:val="22"/>
        </w:rPr>
        <w:t>, through partnerships with international and regional organisations, national authorities, and the private sector.</w:t>
      </w:r>
      <w:r>
        <w:rPr>
          <w:rFonts w:ascii="Calibri" w:hAnsi="Calibri" w:cs="Calibri"/>
          <w:color w:val="231F20"/>
          <w:w w:val="105"/>
          <w:sz w:val="22"/>
          <w:szCs w:val="22"/>
        </w:rPr>
        <w:t xml:space="preserve">  </w:t>
      </w:r>
    </w:p>
    <w:p w14:paraId="4C3A9DDE" w14:textId="77777777" w:rsidR="00322207" w:rsidRPr="00A42B20" w:rsidRDefault="00322207" w:rsidP="00322207">
      <w:pPr>
        <w:widowControl w:val="0"/>
        <w:tabs>
          <w:tab w:val="left" w:pos="4062"/>
          <w:tab w:val="left" w:pos="4065"/>
        </w:tabs>
        <w:autoSpaceDE w:val="0"/>
        <w:autoSpaceDN w:val="0"/>
        <w:spacing w:line="276" w:lineRule="auto"/>
        <w:ind w:right="11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FC71C52" w14:textId="77777777" w:rsidR="00322207" w:rsidRPr="00A42B20" w:rsidRDefault="00322207" w:rsidP="00322207">
      <w:pPr>
        <w:widowControl w:val="0"/>
        <w:tabs>
          <w:tab w:val="left" w:pos="4062"/>
          <w:tab w:val="left" w:pos="4065"/>
        </w:tabs>
        <w:autoSpaceDE w:val="0"/>
        <w:autoSpaceDN w:val="0"/>
        <w:spacing w:line="276" w:lineRule="auto"/>
        <w:ind w:right="114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color w:val="231F20"/>
          <w:w w:val="105"/>
          <w:sz w:val="22"/>
          <w:szCs w:val="22"/>
        </w:rPr>
        <w:t xml:space="preserve">1.3.  The Sub-Committee shall act in accordance with these Training Sub-Committee Terms of Reference (the Terms) </w:t>
      </w:r>
      <w:r>
        <w:rPr>
          <w:rFonts w:ascii="Calibri" w:hAnsi="Calibri" w:cs="Calibri"/>
          <w:color w:val="231F20"/>
          <w:w w:val="105"/>
          <w:sz w:val="22"/>
          <w:szCs w:val="22"/>
        </w:rPr>
        <w:t xml:space="preserve">that </w:t>
      </w:r>
      <w:r w:rsidRPr="00A42B20">
        <w:rPr>
          <w:rFonts w:ascii="Calibri" w:hAnsi="Calibri" w:cs="Calibri"/>
          <w:color w:val="231F20"/>
          <w:w w:val="105"/>
          <w:sz w:val="22"/>
          <w:szCs w:val="22"/>
        </w:rPr>
        <w:t xml:space="preserve">regulate the authority and work of the </w:t>
      </w:r>
      <w:r w:rsidRPr="00A42B20">
        <w:rPr>
          <w:rFonts w:ascii="Calibri" w:hAnsi="Calibri" w:cs="Calibri"/>
          <w:bCs/>
          <w:color w:val="231F20"/>
          <w:w w:val="105"/>
          <w:sz w:val="22"/>
          <w:szCs w:val="22"/>
        </w:rPr>
        <w:t>Sub-Committee.</w:t>
      </w:r>
    </w:p>
    <w:p w14:paraId="14966B5B" w14:textId="77777777" w:rsidR="00322207" w:rsidRDefault="00322207" w:rsidP="00322207">
      <w:pPr>
        <w:widowControl w:val="0"/>
        <w:tabs>
          <w:tab w:val="left" w:pos="4063"/>
          <w:tab w:val="left" w:pos="4065"/>
        </w:tabs>
        <w:autoSpaceDE w:val="0"/>
        <w:autoSpaceDN w:val="0"/>
        <w:spacing w:line="276" w:lineRule="auto"/>
        <w:ind w:right="111"/>
        <w:jc w:val="both"/>
        <w:rPr>
          <w:rFonts w:ascii="Calibri" w:hAnsi="Calibri" w:cs="Calibri"/>
          <w:sz w:val="22"/>
          <w:szCs w:val="22"/>
        </w:rPr>
      </w:pPr>
    </w:p>
    <w:p w14:paraId="69A13562" w14:textId="77777777" w:rsidR="00322207" w:rsidRPr="00CA3C82" w:rsidRDefault="00322207" w:rsidP="00322207">
      <w:pPr>
        <w:widowControl w:val="0"/>
        <w:tabs>
          <w:tab w:val="left" w:pos="4063"/>
          <w:tab w:val="left" w:pos="4065"/>
        </w:tabs>
        <w:autoSpaceDE w:val="0"/>
        <w:autoSpaceDN w:val="0"/>
        <w:spacing w:line="276" w:lineRule="auto"/>
        <w:ind w:right="111"/>
        <w:jc w:val="both"/>
        <w:rPr>
          <w:rFonts w:ascii="Calibri" w:hAnsi="Calibri" w:cs="Calibri"/>
          <w:sz w:val="22"/>
          <w:szCs w:val="22"/>
        </w:rPr>
      </w:pPr>
    </w:p>
    <w:p w14:paraId="6889DAB3" w14:textId="77777777" w:rsidR="00322207" w:rsidRPr="00A42B20" w:rsidRDefault="00322207" w:rsidP="00322207">
      <w:pPr>
        <w:widowControl w:val="0"/>
        <w:tabs>
          <w:tab w:val="left" w:pos="4063"/>
          <w:tab w:val="left" w:pos="4065"/>
        </w:tabs>
        <w:autoSpaceDE w:val="0"/>
        <w:autoSpaceDN w:val="0"/>
        <w:spacing w:line="276" w:lineRule="auto"/>
        <w:ind w:left="-1" w:right="111"/>
        <w:jc w:val="both"/>
        <w:rPr>
          <w:rFonts w:ascii="Calibri" w:hAnsi="Calibri" w:cs="Calibri"/>
          <w:b/>
          <w:bCs/>
          <w:sz w:val="22"/>
          <w:szCs w:val="22"/>
        </w:rPr>
      </w:pPr>
      <w:r w:rsidRPr="00A42B20">
        <w:rPr>
          <w:rFonts w:ascii="Calibri" w:hAnsi="Calibri" w:cs="Calibri"/>
          <w:b/>
          <w:bCs/>
          <w:sz w:val="22"/>
          <w:szCs w:val="22"/>
        </w:rPr>
        <w:t>2.  Membership</w:t>
      </w:r>
    </w:p>
    <w:p w14:paraId="0B97E6AA" w14:textId="77777777" w:rsidR="00322207" w:rsidRPr="00A42B20" w:rsidRDefault="00322207" w:rsidP="00322207">
      <w:pPr>
        <w:widowControl w:val="0"/>
        <w:tabs>
          <w:tab w:val="left" w:pos="4063"/>
          <w:tab w:val="left" w:pos="4065"/>
        </w:tabs>
        <w:autoSpaceDE w:val="0"/>
        <w:autoSpaceDN w:val="0"/>
        <w:spacing w:line="276" w:lineRule="auto"/>
        <w:ind w:left="-1" w:right="11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78AEDE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2.1.  The Sub-Committee shall consist of at least five members, of which at least three must be members of the Executive Committee.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79D973CE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63C9B07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2.2.  Members of the Sub-Committee shall be appointed by the Executive Committee.</w:t>
      </w:r>
      <w:r>
        <w:rPr>
          <w:rFonts w:ascii="Calibri" w:hAnsi="Calibri" w:cs="Calibri"/>
          <w:sz w:val="22"/>
          <w:szCs w:val="22"/>
        </w:rPr>
        <w:t xml:space="preserve">  The General Counsel should also be a member of the Sub-Committee.</w:t>
      </w:r>
    </w:p>
    <w:p w14:paraId="7E141250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30F7ECC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 xml:space="preserve">2.3.  Members of the Sub-Committee may be members of the Executive Committee, the Senate, the </w:t>
      </w:r>
      <w:r w:rsidRPr="00596AE2">
        <w:rPr>
          <w:rFonts w:ascii="Calibri" w:hAnsi="Calibri" w:cs="Calibri"/>
          <w:sz w:val="22"/>
          <w:szCs w:val="22"/>
        </w:rPr>
        <w:t>Secretariat or other members within the meaning of Article 19 of the IAP Constitution.  Any IAP member who wishes to be considered for membership of the Sub-Committee should notify the Secretary-General in writing, and their interest will be notified to the Executive Committee.</w:t>
      </w:r>
    </w:p>
    <w:p w14:paraId="64803C23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68FF75D" w14:textId="37DD72F1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2.4.  The members of the Sub-Committee shall appoint one of their number as Chair</w:t>
      </w:r>
      <w:r w:rsidR="002520AF">
        <w:rPr>
          <w:rFonts w:ascii="Calibri" w:hAnsi="Calibri" w:cs="Calibri"/>
          <w:sz w:val="22"/>
          <w:szCs w:val="22"/>
        </w:rPr>
        <w:t>, who shall serve for a term of three years</w:t>
      </w:r>
      <w:r w:rsidR="00F670D8">
        <w:rPr>
          <w:rFonts w:ascii="Calibri" w:hAnsi="Calibri" w:cs="Calibri"/>
          <w:sz w:val="22"/>
          <w:szCs w:val="22"/>
        </w:rPr>
        <w:t>, subject to subsection 2.5 below</w:t>
      </w:r>
      <w:r w:rsidRPr="00A42B20">
        <w:rPr>
          <w:rFonts w:ascii="Calibri" w:hAnsi="Calibri" w:cs="Calibri"/>
          <w:sz w:val="22"/>
          <w:szCs w:val="22"/>
        </w:rPr>
        <w:t>.  The term of office as Chair is renewable</w:t>
      </w:r>
      <w:r>
        <w:rPr>
          <w:rFonts w:ascii="Calibri" w:hAnsi="Calibri" w:cs="Calibri"/>
          <w:sz w:val="22"/>
          <w:szCs w:val="22"/>
        </w:rPr>
        <w:t xml:space="preserve"> without limitation.</w:t>
      </w:r>
    </w:p>
    <w:p w14:paraId="7C116CCB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387A8EC" w14:textId="77777777" w:rsidR="00322207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2.5.  A member shall serve for a term of three years.  Members shall be eligible for reappointment</w:t>
      </w:r>
      <w:r>
        <w:rPr>
          <w:rFonts w:ascii="Calibri" w:hAnsi="Calibri" w:cs="Calibri"/>
          <w:sz w:val="22"/>
          <w:szCs w:val="22"/>
        </w:rPr>
        <w:t xml:space="preserve"> without limitation</w:t>
      </w:r>
      <w:r w:rsidRPr="00A42B20">
        <w:rPr>
          <w:rFonts w:ascii="Calibri" w:hAnsi="Calibri" w:cs="Calibri"/>
          <w:sz w:val="22"/>
          <w:szCs w:val="22"/>
        </w:rPr>
        <w:t>.</w:t>
      </w:r>
    </w:p>
    <w:p w14:paraId="46684545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36323F" w14:textId="77777777" w:rsidR="00322207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2.6.  A member may resign from the Sub-Committee by providing notice in writing to the Secretary-General.</w:t>
      </w:r>
    </w:p>
    <w:p w14:paraId="1F326DFC" w14:textId="77777777" w:rsidR="00322207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B220E1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lastRenderedPageBreak/>
        <w:t xml:space="preserve">2.7.  A member of the Sub-Committee may be dismissed by the Executive Committee if, after due enquiry, the Executive Committee decides by a majority that the member is unable or unwilling to perform their duties as required by these </w:t>
      </w:r>
      <w:proofErr w:type="gramStart"/>
      <w:r w:rsidRPr="00A42B20">
        <w:rPr>
          <w:rFonts w:ascii="Calibri" w:hAnsi="Calibri" w:cs="Calibri"/>
          <w:sz w:val="22"/>
          <w:szCs w:val="22"/>
        </w:rPr>
        <w:t>Terms, or</w:t>
      </w:r>
      <w:proofErr w:type="gramEnd"/>
      <w:r w:rsidRPr="00A42B20">
        <w:rPr>
          <w:rFonts w:ascii="Calibri" w:hAnsi="Calibri" w:cs="Calibri"/>
          <w:sz w:val="22"/>
          <w:szCs w:val="22"/>
        </w:rPr>
        <w:t xml:space="preserve"> has acted in such a way which is inconsistent with their continued membership of the Sub-Committee.</w:t>
      </w:r>
    </w:p>
    <w:p w14:paraId="08A44AC2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D4A110" w14:textId="77777777" w:rsidR="00322207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2.8.  No member may remain on the Sub-Committee if that member ceases to be a member of the IAP.</w:t>
      </w:r>
    </w:p>
    <w:p w14:paraId="75339935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7898183" w14:textId="03FC88C8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2.9.  Sub-Committee members shall disclose any conflict of interest relating to the work of the Sub-Committee to the Chair of the Committee.  If requested to do so by the Chair, the member shall withdraw from the Sub-Committee or from any part of the Sub-Committee meeting</w:t>
      </w:r>
      <w:r w:rsidR="00EA5311">
        <w:rPr>
          <w:rFonts w:ascii="Calibri" w:hAnsi="Calibri" w:cs="Calibri"/>
          <w:sz w:val="22"/>
          <w:szCs w:val="22"/>
        </w:rPr>
        <w:t xml:space="preserve"> or activity</w:t>
      </w:r>
      <w:r w:rsidRPr="00A42B2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</w:t>
      </w:r>
      <w:r w:rsidRPr="00A42B20">
        <w:rPr>
          <w:rFonts w:ascii="Calibri" w:hAnsi="Calibri" w:cs="Calibri"/>
          <w:sz w:val="22"/>
          <w:szCs w:val="22"/>
        </w:rPr>
        <w:t xml:space="preserve"> is deemed appropriate by the Chair.</w:t>
      </w:r>
    </w:p>
    <w:p w14:paraId="513A50C9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53A12D3" w14:textId="77777777" w:rsidR="00322207" w:rsidRDefault="00322207" w:rsidP="00322207">
      <w:pPr>
        <w:spacing w:line="276" w:lineRule="auto"/>
        <w:jc w:val="both"/>
        <w:rPr>
          <w:rStyle w:val="CommentReference"/>
          <w:rFonts w:ascii="Calibri" w:hAnsi="Calibri" w:cs="Calibri"/>
          <w:sz w:val="22"/>
          <w:szCs w:val="22"/>
        </w:rPr>
      </w:pPr>
    </w:p>
    <w:p w14:paraId="5FF10064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42B20">
        <w:rPr>
          <w:rFonts w:ascii="Calibri" w:hAnsi="Calibri" w:cs="Calibri"/>
          <w:b/>
          <w:bCs/>
          <w:sz w:val="22"/>
          <w:szCs w:val="22"/>
        </w:rPr>
        <w:t>3.  Roles and responsibilities of the Sub-Committee</w:t>
      </w:r>
    </w:p>
    <w:p w14:paraId="3BA8F111" w14:textId="77777777" w:rsidR="00322207" w:rsidRPr="00A42B20" w:rsidRDefault="00322207" w:rsidP="00322207">
      <w:pPr>
        <w:spacing w:line="276" w:lineRule="auto"/>
        <w:ind w:left="3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34F2DD" w14:textId="77777777" w:rsidR="00322207" w:rsidRPr="00CA3C82" w:rsidRDefault="00322207" w:rsidP="00322207">
      <w:pPr>
        <w:widowControl w:val="0"/>
        <w:tabs>
          <w:tab w:val="left" w:pos="4064"/>
        </w:tabs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31F20"/>
          <w:spacing w:val="-2"/>
          <w:sz w:val="22"/>
          <w:szCs w:val="22"/>
        </w:rPr>
        <w:t>3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.1.  The</w:t>
      </w:r>
      <w:r w:rsidRPr="00CA3C82">
        <w:rPr>
          <w:rFonts w:ascii="Calibri" w:hAnsi="Calibri" w:cs="Calibri"/>
          <w:color w:val="231F20"/>
          <w:spacing w:val="-11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Sub-Committee</w:t>
      </w:r>
      <w:r w:rsidRPr="00CA3C82">
        <w:rPr>
          <w:rFonts w:ascii="Calibri" w:hAnsi="Calibri" w:cs="Calibri"/>
          <w:color w:val="231F20"/>
          <w:spacing w:val="-11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shall</w:t>
      </w:r>
      <w:r w:rsidRPr="00CA3C82">
        <w:rPr>
          <w:rFonts w:ascii="Calibri" w:hAnsi="Calibri" w:cs="Calibri"/>
          <w:color w:val="231F20"/>
          <w:spacing w:val="-11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be</w:t>
      </w:r>
      <w:r w:rsidRPr="00CA3C82">
        <w:rPr>
          <w:rFonts w:ascii="Calibri" w:hAnsi="Calibri" w:cs="Calibri"/>
          <w:color w:val="231F20"/>
          <w:spacing w:val="-11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responsible</w:t>
      </w:r>
      <w:r w:rsidRPr="00CA3C82">
        <w:rPr>
          <w:rFonts w:ascii="Calibri" w:hAnsi="Calibri" w:cs="Calibri"/>
          <w:color w:val="231F20"/>
          <w:spacing w:val="-11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for</w:t>
      </w:r>
      <w:r>
        <w:rPr>
          <w:rFonts w:ascii="Calibri" w:hAnsi="Calibri" w:cs="Calibri"/>
          <w:color w:val="231F20"/>
          <w:spacing w:val="-11"/>
          <w:sz w:val="22"/>
          <w:szCs w:val="22"/>
        </w:rPr>
        <w:t>:</w:t>
      </w:r>
    </w:p>
    <w:p w14:paraId="1955F263" w14:textId="77777777" w:rsidR="00322207" w:rsidRPr="00CA3C82" w:rsidRDefault="00322207" w:rsidP="00322207">
      <w:pPr>
        <w:pStyle w:val="ListParagraph"/>
        <w:widowControl w:val="0"/>
        <w:numPr>
          <w:ilvl w:val="0"/>
          <w:numId w:val="1"/>
        </w:numPr>
        <w:tabs>
          <w:tab w:val="left" w:pos="4518"/>
        </w:tabs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sz w:val="22"/>
          <w:szCs w:val="22"/>
        </w:rPr>
      </w:pPr>
      <w:r w:rsidRPr="00CA3C82">
        <w:rPr>
          <w:rFonts w:ascii="Calibri" w:hAnsi="Calibri" w:cs="Calibri"/>
          <w:color w:val="231F20"/>
          <w:sz w:val="22"/>
          <w:szCs w:val="22"/>
        </w:rPr>
        <w:t xml:space="preserve">Identifying and building strong relationships with international, regional and national organisations and associations, and with the private </w:t>
      </w:r>
      <w:proofErr w:type="gramStart"/>
      <w:r w:rsidRPr="00CA3C82">
        <w:rPr>
          <w:rFonts w:ascii="Calibri" w:hAnsi="Calibri" w:cs="Calibri"/>
          <w:color w:val="231F20"/>
          <w:sz w:val="22"/>
          <w:szCs w:val="22"/>
        </w:rPr>
        <w:t>sector;</w:t>
      </w:r>
      <w:proofErr w:type="gramEnd"/>
    </w:p>
    <w:p w14:paraId="11407B3C" w14:textId="7B044B28" w:rsidR="00322207" w:rsidRPr="00CA3C82" w:rsidRDefault="00322207" w:rsidP="0032220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sz w:val="22"/>
          <w:szCs w:val="22"/>
        </w:rPr>
      </w:pPr>
      <w:r w:rsidRPr="00CA3C82">
        <w:rPr>
          <w:rFonts w:ascii="Calibri" w:hAnsi="Calibri" w:cs="Calibri"/>
          <w:color w:val="231F20"/>
          <w:sz w:val="22"/>
          <w:szCs w:val="22"/>
        </w:rPr>
        <w:t>Leveraging</w:t>
      </w:r>
      <w:r w:rsidRPr="00CA3C82">
        <w:rPr>
          <w:rFonts w:ascii="Calibri" w:hAnsi="Calibri" w:cs="Calibri"/>
          <w:color w:val="231F20"/>
          <w:spacing w:val="-13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z w:val="22"/>
          <w:szCs w:val="22"/>
        </w:rPr>
        <w:t>those</w:t>
      </w:r>
      <w:r w:rsidRPr="00CA3C82">
        <w:rPr>
          <w:rFonts w:ascii="Calibri" w:hAnsi="Calibri" w:cs="Calibri"/>
          <w:color w:val="231F20"/>
          <w:spacing w:val="-12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z w:val="22"/>
          <w:szCs w:val="22"/>
        </w:rPr>
        <w:t>partnerships</w:t>
      </w:r>
      <w:r w:rsidRPr="00CA3C82">
        <w:rPr>
          <w:rFonts w:ascii="Calibri" w:hAnsi="Calibri" w:cs="Calibri"/>
          <w:color w:val="231F20"/>
          <w:spacing w:val="-13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z w:val="22"/>
          <w:szCs w:val="22"/>
        </w:rPr>
        <w:t>in</w:t>
      </w:r>
      <w:r w:rsidRPr="00CA3C82">
        <w:rPr>
          <w:rFonts w:ascii="Calibri" w:hAnsi="Calibri" w:cs="Calibri"/>
          <w:color w:val="231F20"/>
          <w:spacing w:val="-12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z w:val="22"/>
          <w:szCs w:val="22"/>
        </w:rPr>
        <w:t>the</w:t>
      </w:r>
      <w:r w:rsidRPr="00CA3C82">
        <w:rPr>
          <w:rFonts w:ascii="Calibri" w:hAnsi="Calibri" w:cs="Calibri"/>
          <w:color w:val="231F20"/>
          <w:spacing w:val="-13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z w:val="22"/>
          <w:szCs w:val="22"/>
        </w:rPr>
        <w:t>development</w:t>
      </w:r>
      <w:r w:rsidRPr="00CA3C82">
        <w:rPr>
          <w:rFonts w:ascii="Calibri" w:hAnsi="Calibri" w:cs="Calibri"/>
          <w:color w:val="231F20"/>
          <w:spacing w:val="-12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z w:val="22"/>
          <w:szCs w:val="22"/>
        </w:rPr>
        <w:t>and</w:t>
      </w:r>
      <w:r w:rsidRPr="00CA3C82">
        <w:rPr>
          <w:rFonts w:ascii="Calibri" w:hAnsi="Calibri" w:cs="Calibri"/>
          <w:color w:val="231F20"/>
          <w:spacing w:val="-13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z w:val="22"/>
          <w:szCs w:val="22"/>
        </w:rPr>
        <w:t xml:space="preserve">execution of training </w:t>
      </w:r>
      <w:r w:rsidR="004161EE">
        <w:rPr>
          <w:rFonts w:ascii="Calibri" w:hAnsi="Calibri" w:cs="Calibri"/>
          <w:color w:val="231F20"/>
          <w:sz w:val="22"/>
          <w:szCs w:val="22"/>
        </w:rPr>
        <w:t xml:space="preserve">materials </w:t>
      </w:r>
      <w:r w:rsidR="00900369">
        <w:rPr>
          <w:rFonts w:ascii="Calibri" w:hAnsi="Calibri" w:cs="Calibri"/>
          <w:color w:val="231F20"/>
          <w:sz w:val="22"/>
          <w:szCs w:val="22"/>
        </w:rPr>
        <w:t xml:space="preserve">and </w:t>
      </w:r>
      <w:proofErr w:type="gramStart"/>
      <w:r w:rsidR="00900369">
        <w:rPr>
          <w:rFonts w:ascii="Calibri" w:hAnsi="Calibri" w:cs="Calibri"/>
          <w:color w:val="231F20"/>
          <w:sz w:val="22"/>
          <w:szCs w:val="22"/>
        </w:rPr>
        <w:t>programmes</w:t>
      </w:r>
      <w:r w:rsidRPr="00CA3C82">
        <w:rPr>
          <w:rFonts w:ascii="Calibri" w:hAnsi="Calibri" w:cs="Calibri"/>
          <w:color w:val="231F20"/>
          <w:sz w:val="22"/>
          <w:szCs w:val="22"/>
        </w:rPr>
        <w:t>;</w:t>
      </w:r>
      <w:proofErr w:type="gramEnd"/>
    </w:p>
    <w:p w14:paraId="71C47A45" w14:textId="77777777" w:rsidR="00322207" w:rsidRPr="0009664D" w:rsidRDefault="00322207" w:rsidP="0032220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sz w:val="22"/>
          <w:szCs w:val="22"/>
        </w:rPr>
      </w:pPr>
      <w:r w:rsidRPr="00CA3C82">
        <w:rPr>
          <w:rFonts w:ascii="Calibri" w:hAnsi="Calibri" w:cs="Calibri"/>
          <w:color w:val="231F20"/>
          <w:spacing w:val="-6"/>
          <w:sz w:val="22"/>
          <w:szCs w:val="22"/>
        </w:rPr>
        <w:t xml:space="preserve">Assessing potential partnerships and training products and making </w:t>
      </w:r>
      <w:r w:rsidRPr="00CA3C82">
        <w:rPr>
          <w:rFonts w:ascii="Calibri" w:hAnsi="Calibri" w:cs="Calibri"/>
          <w:color w:val="231F20"/>
          <w:sz w:val="22"/>
          <w:szCs w:val="22"/>
        </w:rPr>
        <w:t xml:space="preserve">recommendations to the Executive </w:t>
      </w:r>
      <w:proofErr w:type="gramStart"/>
      <w:r w:rsidRPr="00CA3C82">
        <w:rPr>
          <w:rFonts w:ascii="Calibri" w:hAnsi="Calibri" w:cs="Calibri"/>
          <w:color w:val="231F20"/>
          <w:sz w:val="22"/>
          <w:szCs w:val="22"/>
        </w:rPr>
        <w:t>Committee;</w:t>
      </w:r>
      <w:proofErr w:type="gramEnd"/>
    </w:p>
    <w:p w14:paraId="1993A23A" w14:textId="77777777" w:rsidR="00322207" w:rsidRPr="00CA3C82" w:rsidRDefault="00322207" w:rsidP="0032220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 xml:space="preserve">Setting the objectives and strategies for the Global Training </w:t>
      </w:r>
      <w:proofErr w:type="gramStart"/>
      <w:r>
        <w:rPr>
          <w:rFonts w:ascii="Calibri" w:hAnsi="Calibri" w:cs="Calibri"/>
          <w:color w:val="231F20"/>
          <w:sz w:val="22"/>
          <w:szCs w:val="22"/>
        </w:rPr>
        <w:t>Academy;</w:t>
      </w:r>
      <w:proofErr w:type="gramEnd"/>
    </w:p>
    <w:p w14:paraId="4FC359F8" w14:textId="77777777" w:rsidR="00322207" w:rsidRPr="00CA3C82" w:rsidRDefault="00322207" w:rsidP="0032220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sz w:val="22"/>
          <w:szCs w:val="22"/>
        </w:rPr>
      </w:pPr>
      <w:r w:rsidRPr="00CA3C82">
        <w:rPr>
          <w:rFonts w:ascii="Calibri" w:hAnsi="Calibri" w:cs="Calibri"/>
          <w:color w:val="231F20"/>
          <w:sz w:val="22"/>
          <w:szCs w:val="22"/>
        </w:rPr>
        <w:t>Assessing resources required for accomplishing the objectives under the Global Training Academy</w:t>
      </w:r>
      <w:r>
        <w:rPr>
          <w:rFonts w:ascii="Calibri" w:hAnsi="Calibri" w:cs="Calibri"/>
          <w:color w:val="231F20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z w:val="22"/>
          <w:szCs w:val="22"/>
        </w:rPr>
        <w:t xml:space="preserve">and making recommendations to the Fundraising Sub-Committee and Executive </w:t>
      </w:r>
      <w:proofErr w:type="gramStart"/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Committee;</w:t>
      </w:r>
      <w:proofErr w:type="gramEnd"/>
    </w:p>
    <w:p w14:paraId="145F6333" w14:textId="77777777" w:rsidR="00322207" w:rsidRPr="00CA3C82" w:rsidRDefault="00322207" w:rsidP="0032220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sz w:val="22"/>
          <w:szCs w:val="22"/>
        </w:rPr>
      </w:pPr>
      <w:r w:rsidRPr="00CA3C82">
        <w:rPr>
          <w:rFonts w:ascii="Calibri" w:hAnsi="Calibri" w:cs="Calibri"/>
          <w:color w:val="231F20"/>
          <w:spacing w:val="-6"/>
          <w:sz w:val="22"/>
          <w:szCs w:val="22"/>
        </w:rPr>
        <w:t>Implementing</w:t>
      </w:r>
      <w:r w:rsidRPr="00CA3C82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6"/>
          <w:sz w:val="22"/>
          <w:szCs w:val="22"/>
        </w:rPr>
        <w:t>the Global Training Academy</w:t>
      </w:r>
      <w:r w:rsidRPr="00CA3C82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6"/>
          <w:sz w:val="22"/>
          <w:szCs w:val="22"/>
        </w:rPr>
        <w:t>strategy with</w:t>
      </w:r>
      <w:r w:rsidRPr="00CA3C82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6"/>
          <w:sz w:val="22"/>
          <w:szCs w:val="22"/>
        </w:rPr>
        <w:t>the support</w:t>
      </w:r>
      <w:r w:rsidRPr="00CA3C82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6"/>
          <w:sz w:val="22"/>
          <w:szCs w:val="22"/>
        </w:rPr>
        <w:t>of the</w:t>
      </w:r>
      <w:r w:rsidRPr="00CA3C82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proofErr w:type="gramStart"/>
      <w:r w:rsidRPr="00CA3C82">
        <w:rPr>
          <w:rFonts w:ascii="Calibri" w:hAnsi="Calibri" w:cs="Calibri"/>
          <w:color w:val="231F20"/>
          <w:spacing w:val="-6"/>
          <w:sz w:val="22"/>
          <w:szCs w:val="22"/>
        </w:rPr>
        <w:t>Secretariat;</w:t>
      </w:r>
      <w:proofErr w:type="gramEnd"/>
    </w:p>
    <w:p w14:paraId="2A6D68C8" w14:textId="77777777" w:rsidR="00322207" w:rsidRPr="00CA3C82" w:rsidRDefault="00322207" w:rsidP="0032220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sz w:val="22"/>
          <w:szCs w:val="22"/>
        </w:rPr>
      </w:pPr>
      <w:r w:rsidRPr="00CA3C82">
        <w:rPr>
          <w:rFonts w:ascii="Calibri" w:hAnsi="Calibri" w:cs="Calibri"/>
          <w:color w:val="231F20"/>
          <w:spacing w:val="-6"/>
          <w:sz w:val="22"/>
          <w:szCs w:val="22"/>
        </w:rPr>
        <w:t>Regular</w:t>
      </w:r>
      <w:r w:rsidRPr="00CA3C82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6"/>
          <w:sz w:val="22"/>
          <w:szCs w:val="22"/>
        </w:rPr>
        <w:t>review of</w:t>
      </w:r>
      <w:r w:rsidRPr="00CA3C82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6"/>
          <w:sz w:val="22"/>
          <w:szCs w:val="22"/>
        </w:rPr>
        <w:t xml:space="preserve">the objectives of the Global Training </w:t>
      </w:r>
      <w:proofErr w:type="gramStart"/>
      <w:r w:rsidRPr="00CA3C82">
        <w:rPr>
          <w:rFonts w:ascii="Calibri" w:hAnsi="Calibri" w:cs="Calibri"/>
          <w:color w:val="231F20"/>
          <w:spacing w:val="-6"/>
          <w:sz w:val="22"/>
          <w:szCs w:val="22"/>
        </w:rPr>
        <w:t>Academy;</w:t>
      </w:r>
      <w:proofErr w:type="gramEnd"/>
    </w:p>
    <w:p w14:paraId="42597E8C" w14:textId="77777777" w:rsidR="00322207" w:rsidRPr="00CA3C82" w:rsidRDefault="00322207" w:rsidP="0032220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sz w:val="22"/>
          <w:szCs w:val="22"/>
        </w:rPr>
      </w:pPr>
      <w:r w:rsidRPr="00CA3C82">
        <w:rPr>
          <w:rFonts w:ascii="Calibri" w:hAnsi="Calibri" w:cs="Calibri"/>
          <w:color w:val="231F20"/>
          <w:sz w:val="22"/>
          <w:szCs w:val="22"/>
        </w:rPr>
        <w:t xml:space="preserve">Management and regular review of the operational performance and outputs of the Global Training </w:t>
      </w:r>
      <w:proofErr w:type="gramStart"/>
      <w:r w:rsidRPr="00CA3C82">
        <w:rPr>
          <w:rFonts w:ascii="Calibri" w:hAnsi="Calibri" w:cs="Calibri"/>
          <w:color w:val="231F20"/>
          <w:sz w:val="22"/>
          <w:szCs w:val="22"/>
        </w:rPr>
        <w:t>Academy;</w:t>
      </w:r>
      <w:proofErr w:type="gramEnd"/>
    </w:p>
    <w:p w14:paraId="7E589C0B" w14:textId="77777777" w:rsidR="00322207" w:rsidRPr="00CA3C82" w:rsidRDefault="00322207" w:rsidP="0032220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sz w:val="22"/>
          <w:szCs w:val="22"/>
        </w:rPr>
      </w:pP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Optimisation</w:t>
      </w:r>
      <w:r w:rsidRPr="00CA3C82">
        <w:rPr>
          <w:rFonts w:ascii="Calibri" w:hAnsi="Calibri" w:cs="Calibri"/>
          <w:color w:val="231F20"/>
          <w:spacing w:val="-3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and</w:t>
      </w:r>
      <w:r w:rsidRPr="00CA3C82">
        <w:rPr>
          <w:rFonts w:ascii="Calibri" w:hAnsi="Calibri" w:cs="Calibri"/>
          <w:color w:val="231F20"/>
          <w:spacing w:val="-4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allocation</w:t>
      </w:r>
      <w:r w:rsidRPr="00CA3C82">
        <w:rPr>
          <w:rFonts w:ascii="Calibri" w:hAnsi="Calibri" w:cs="Calibri"/>
          <w:color w:val="231F20"/>
          <w:spacing w:val="-3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of</w:t>
      </w:r>
      <w:r w:rsidRPr="00CA3C82">
        <w:rPr>
          <w:rFonts w:ascii="Calibri" w:hAnsi="Calibri" w:cs="Calibri"/>
          <w:color w:val="231F20"/>
          <w:spacing w:val="-3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Global Training Academy</w:t>
      </w:r>
      <w:r w:rsidRPr="00CA3C82">
        <w:rPr>
          <w:rFonts w:ascii="Calibri" w:hAnsi="Calibri" w:cs="Calibri"/>
          <w:color w:val="231F20"/>
          <w:spacing w:val="-3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resources.</w:t>
      </w:r>
    </w:p>
    <w:p w14:paraId="1F1C9C73" w14:textId="7E6F1A6F" w:rsidR="00322207" w:rsidRPr="00CA3C82" w:rsidRDefault="00BB72E5" w:rsidP="00322207">
      <w:pPr>
        <w:widowControl w:val="0"/>
        <w:tabs>
          <w:tab w:val="left" w:pos="4062"/>
          <w:tab w:val="left" w:pos="4065"/>
        </w:tabs>
        <w:autoSpaceDE w:val="0"/>
        <w:autoSpaceDN w:val="0"/>
        <w:spacing w:line="276" w:lineRule="auto"/>
        <w:ind w:right="11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31F20"/>
          <w:spacing w:val="-4"/>
          <w:sz w:val="22"/>
          <w:szCs w:val="22"/>
        </w:rPr>
        <w:t>3</w:t>
      </w:r>
      <w:r w:rsidR="00322207">
        <w:rPr>
          <w:rFonts w:ascii="Calibri" w:hAnsi="Calibri" w:cs="Calibri"/>
          <w:color w:val="231F20"/>
          <w:spacing w:val="-4"/>
          <w:sz w:val="22"/>
          <w:szCs w:val="22"/>
        </w:rPr>
        <w:t xml:space="preserve">.2.  </w:t>
      </w:r>
      <w:r w:rsidR="00322207" w:rsidRPr="00CA3C82">
        <w:rPr>
          <w:rFonts w:ascii="Calibri" w:hAnsi="Calibri" w:cs="Calibri"/>
          <w:color w:val="231F20"/>
          <w:spacing w:val="-4"/>
          <w:sz w:val="22"/>
          <w:szCs w:val="22"/>
        </w:rPr>
        <w:t xml:space="preserve">The General Counsel, assisted by the Sub-Committee, shall be responsible for arranging Memoranda of Understanding, Letters of Agreement, and </w:t>
      </w:r>
      <w:r w:rsidR="00322207" w:rsidRPr="00CA3C82">
        <w:rPr>
          <w:rFonts w:ascii="Calibri" w:hAnsi="Calibri" w:cs="Calibri"/>
          <w:color w:val="231F20"/>
          <w:sz w:val="22"/>
          <w:szCs w:val="22"/>
        </w:rPr>
        <w:t xml:space="preserve">other such formalities with partner organisations as required for approval by the </w:t>
      </w:r>
      <w:r w:rsidR="00322207">
        <w:rPr>
          <w:rFonts w:ascii="Calibri" w:hAnsi="Calibri" w:cs="Calibri"/>
          <w:color w:val="231F20"/>
          <w:sz w:val="22"/>
          <w:szCs w:val="22"/>
        </w:rPr>
        <w:t xml:space="preserve">Executive </w:t>
      </w:r>
      <w:r w:rsidR="00322207" w:rsidRPr="00CA3C82">
        <w:rPr>
          <w:rFonts w:ascii="Calibri" w:hAnsi="Calibri" w:cs="Calibri"/>
          <w:color w:val="231F20"/>
          <w:sz w:val="22"/>
          <w:szCs w:val="22"/>
        </w:rPr>
        <w:t>Committee</w:t>
      </w:r>
      <w:r w:rsidR="00322207">
        <w:rPr>
          <w:rFonts w:ascii="Calibri" w:hAnsi="Calibri" w:cs="Calibri"/>
          <w:color w:val="231F20"/>
          <w:sz w:val="22"/>
          <w:szCs w:val="22"/>
        </w:rPr>
        <w:t>.</w:t>
      </w:r>
    </w:p>
    <w:p w14:paraId="27AABCBF" w14:textId="77777777" w:rsidR="00322207" w:rsidRPr="00A42B20" w:rsidRDefault="00322207" w:rsidP="00322207">
      <w:pPr>
        <w:pStyle w:val="ListParagraph"/>
        <w:widowControl w:val="0"/>
        <w:tabs>
          <w:tab w:val="left" w:pos="4062"/>
          <w:tab w:val="left" w:pos="4065"/>
        </w:tabs>
        <w:autoSpaceDE w:val="0"/>
        <w:autoSpaceDN w:val="0"/>
        <w:spacing w:line="276" w:lineRule="auto"/>
        <w:ind w:left="340" w:right="115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5C17C47A" w14:textId="77777777" w:rsidR="00322207" w:rsidRPr="00A42B20" w:rsidRDefault="00322207" w:rsidP="00322207">
      <w:pPr>
        <w:widowControl w:val="0"/>
        <w:tabs>
          <w:tab w:val="left" w:pos="4063"/>
          <w:tab w:val="left" w:pos="4065"/>
        </w:tabs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31F20"/>
          <w:spacing w:val="-2"/>
          <w:sz w:val="22"/>
          <w:szCs w:val="22"/>
        </w:rPr>
        <w:t>3</w:t>
      </w:r>
      <w:r w:rsidRPr="00A42B20">
        <w:rPr>
          <w:rFonts w:ascii="Calibri" w:hAnsi="Calibri" w:cs="Calibri"/>
          <w:color w:val="231F20"/>
          <w:spacing w:val="-2"/>
          <w:sz w:val="22"/>
          <w:szCs w:val="22"/>
        </w:rPr>
        <w:t>.3.  The Sub</w:t>
      </w:r>
      <w:r w:rsidRPr="00A42B20">
        <w:rPr>
          <w:rFonts w:ascii="Calibri" w:hAnsi="Calibri" w:cs="Calibri"/>
          <w:color w:val="231F20"/>
          <w:spacing w:val="-9"/>
          <w:sz w:val="22"/>
          <w:szCs w:val="22"/>
        </w:rPr>
        <w:t>-</w:t>
      </w:r>
      <w:r w:rsidRPr="00A42B20">
        <w:rPr>
          <w:rFonts w:ascii="Calibri" w:hAnsi="Calibri" w:cs="Calibri"/>
          <w:color w:val="231F20"/>
          <w:spacing w:val="-2"/>
          <w:sz w:val="22"/>
          <w:szCs w:val="22"/>
        </w:rPr>
        <w:t>Committee</w:t>
      </w:r>
      <w:r w:rsidRPr="00A42B20">
        <w:rPr>
          <w:rFonts w:ascii="Calibri" w:hAnsi="Calibri" w:cs="Calibri"/>
          <w:color w:val="231F20"/>
          <w:spacing w:val="-9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sz w:val="22"/>
          <w:szCs w:val="22"/>
        </w:rPr>
        <w:t>shall</w:t>
      </w:r>
      <w:r w:rsidRPr="00A42B20">
        <w:rPr>
          <w:rFonts w:ascii="Calibri" w:hAnsi="Calibri" w:cs="Calibri"/>
          <w:color w:val="231F20"/>
          <w:spacing w:val="-9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sz w:val="22"/>
          <w:szCs w:val="22"/>
        </w:rPr>
        <w:t>prioritise</w:t>
      </w:r>
      <w:r w:rsidRPr="00A42B20">
        <w:rPr>
          <w:rFonts w:ascii="Calibri" w:hAnsi="Calibri" w:cs="Calibri"/>
          <w:color w:val="231F20"/>
          <w:spacing w:val="-9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sz w:val="22"/>
          <w:szCs w:val="22"/>
        </w:rPr>
        <w:t>partnerships</w:t>
      </w:r>
      <w:r w:rsidRPr="00A42B20">
        <w:rPr>
          <w:rFonts w:ascii="Calibri" w:hAnsi="Calibri" w:cs="Calibri"/>
          <w:color w:val="231F20"/>
          <w:spacing w:val="-9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sz w:val="22"/>
          <w:szCs w:val="22"/>
        </w:rPr>
        <w:t>and</w:t>
      </w:r>
      <w:r w:rsidRPr="00A42B20">
        <w:rPr>
          <w:rFonts w:ascii="Calibri" w:hAnsi="Calibri" w:cs="Calibri"/>
          <w:color w:val="231F20"/>
          <w:spacing w:val="-9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sz w:val="22"/>
          <w:szCs w:val="22"/>
        </w:rPr>
        <w:t>products</w:t>
      </w:r>
      <w:r w:rsidRPr="00A42B20">
        <w:rPr>
          <w:rFonts w:ascii="Calibri" w:hAnsi="Calibri" w:cs="Calibri"/>
          <w:color w:val="231F20"/>
          <w:spacing w:val="-9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pacing w:val="-2"/>
          <w:sz w:val="22"/>
          <w:szCs w:val="22"/>
        </w:rPr>
        <w:t xml:space="preserve">that </w:t>
      </w:r>
      <w:r w:rsidRPr="00A42B20">
        <w:rPr>
          <w:rFonts w:ascii="Calibri" w:hAnsi="Calibri" w:cs="Calibri"/>
          <w:color w:val="231F20"/>
          <w:sz w:val="22"/>
          <w:szCs w:val="22"/>
        </w:rPr>
        <w:t>provide</w:t>
      </w:r>
      <w:r w:rsidRPr="00A42B20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z w:val="22"/>
          <w:szCs w:val="22"/>
        </w:rPr>
        <w:t>the</w:t>
      </w:r>
      <w:r w:rsidRPr="00A42B20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z w:val="22"/>
          <w:szCs w:val="22"/>
        </w:rPr>
        <w:t>Global</w:t>
      </w:r>
      <w:r w:rsidRPr="00A42B20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z w:val="22"/>
          <w:szCs w:val="22"/>
        </w:rPr>
        <w:t>Training</w:t>
      </w:r>
      <w:r w:rsidRPr="00A42B20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z w:val="22"/>
          <w:szCs w:val="22"/>
        </w:rPr>
        <w:t>Academy</w:t>
      </w:r>
      <w:r w:rsidRPr="00A42B20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z w:val="22"/>
          <w:szCs w:val="22"/>
        </w:rPr>
        <w:t>with</w:t>
      </w:r>
      <w:r w:rsidRPr="00A42B20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z w:val="22"/>
          <w:szCs w:val="22"/>
        </w:rPr>
        <w:t>support</w:t>
      </w:r>
      <w:r w:rsidRPr="00A42B20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z w:val="22"/>
          <w:szCs w:val="22"/>
        </w:rPr>
        <w:t>and</w:t>
      </w:r>
      <w:r w:rsidRPr="00A42B20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z w:val="22"/>
          <w:szCs w:val="22"/>
        </w:rPr>
        <w:t>resources</w:t>
      </w:r>
      <w:r w:rsidRPr="00A42B20">
        <w:rPr>
          <w:rFonts w:ascii="Calibri" w:hAnsi="Calibri" w:cs="Calibri"/>
          <w:color w:val="231F20"/>
          <w:spacing w:val="-7"/>
          <w:sz w:val="22"/>
          <w:szCs w:val="22"/>
        </w:rPr>
        <w:t xml:space="preserve"> </w:t>
      </w:r>
      <w:r w:rsidRPr="00A42B20">
        <w:rPr>
          <w:rFonts w:ascii="Calibri" w:hAnsi="Calibri" w:cs="Calibri"/>
          <w:color w:val="231F20"/>
          <w:sz w:val="22"/>
          <w:szCs w:val="22"/>
        </w:rPr>
        <w:t>for training prosecutors in the fields of:</w:t>
      </w:r>
    </w:p>
    <w:p w14:paraId="16D9550A" w14:textId="77777777" w:rsidR="00322207" w:rsidRPr="00CA3C82" w:rsidRDefault="00322207" w:rsidP="00322207">
      <w:pPr>
        <w:pStyle w:val="ListParagraph"/>
        <w:widowControl w:val="0"/>
        <w:numPr>
          <w:ilvl w:val="0"/>
          <w:numId w:val="2"/>
        </w:numPr>
        <w:tabs>
          <w:tab w:val="left" w:pos="4516"/>
          <w:tab w:val="left" w:pos="4518"/>
        </w:tabs>
        <w:autoSpaceDE w:val="0"/>
        <w:autoSpaceDN w:val="0"/>
        <w:spacing w:line="276" w:lineRule="auto"/>
        <w:ind w:right="115"/>
        <w:jc w:val="both"/>
        <w:rPr>
          <w:rFonts w:ascii="Calibri" w:hAnsi="Calibri" w:cs="Calibri"/>
          <w:sz w:val="22"/>
          <w:szCs w:val="22"/>
        </w:rPr>
      </w:pPr>
      <w:r w:rsidRPr="00CA3C82">
        <w:rPr>
          <w:rFonts w:ascii="Calibri" w:hAnsi="Calibri" w:cs="Calibri"/>
          <w:color w:val="231F20"/>
          <w:sz w:val="22"/>
          <w:szCs w:val="22"/>
        </w:rPr>
        <w:t xml:space="preserve">Universal professional standards which transcend national </w:t>
      </w:r>
      <w:proofErr w:type="gramStart"/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perspectives;</w:t>
      </w:r>
      <w:proofErr w:type="gramEnd"/>
    </w:p>
    <w:p w14:paraId="2AA01682" w14:textId="77777777" w:rsidR="00322207" w:rsidRPr="00CA3C82" w:rsidRDefault="00322207" w:rsidP="00322207">
      <w:pPr>
        <w:pStyle w:val="ListParagraph"/>
        <w:widowControl w:val="0"/>
        <w:numPr>
          <w:ilvl w:val="0"/>
          <w:numId w:val="2"/>
        </w:numPr>
        <w:tabs>
          <w:tab w:val="left" w:pos="4516"/>
          <w:tab w:val="left" w:pos="4518"/>
        </w:tabs>
        <w:autoSpaceDE w:val="0"/>
        <w:autoSpaceDN w:val="0"/>
        <w:spacing w:line="276" w:lineRule="auto"/>
        <w:ind w:right="115"/>
        <w:jc w:val="both"/>
        <w:rPr>
          <w:rFonts w:ascii="Calibri" w:hAnsi="Calibri" w:cs="Calibri"/>
          <w:sz w:val="22"/>
          <w:szCs w:val="22"/>
        </w:rPr>
      </w:pPr>
      <w:r w:rsidRPr="00CA3C82">
        <w:rPr>
          <w:rFonts w:ascii="Calibri" w:hAnsi="Calibri" w:cs="Calibri"/>
          <w:color w:val="231F20"/>
          <w:sz w:val="22"/>
          <w:szCs w:val="22"/>
        </w:rPr>
        <w:t>Universal human rights and their application to the role of the prosecutor and the wider criminal justice system; and</w:t>
      </w:r>
    </w:p>
    <w:p w14:paraId="5A8C43B4" w14:textId="77777777" w:rsidR="00322207" w:rsidRPr="00CA3C82" w:rsidRDefault="00322207" w:rsidP="00322207">
      <w:pPr>
        <w:pStyle w:val="ListParagraph"/>
        <w:widowControl w:val="0"/>
        <w:numPr>
          <w:ilvl w:val="0"/>
          <w:numId w:val="2"/>
        </w:numPr>
        <w:tabs>
          <w:tab w:val="left" w:pos="4516"/>
          <w:tab w:val="left" w:pos="4518"/>
        </w:tabs>
        <w:autoSpaceDE w:val="0"/>
        <w:autoSpaceDN w:val="0"/>
        <w:spacing w:line="276" w:lineRule="auto"/>
        <w:ind w:right="115"/>
        <w:jc w:val="both"/>
        <w:rPr>
          <w:rFonts w:ascii="Calibri" w:hAnsi="Calibri" w:cs="Calibri"/>
          <w:sz w:val="22"/>
          <w:szCs w:val="22"/>
        </w:rPr>
      </w:pP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International</w:t>
      </w:r>
      <w:r w:rsidRPr="00CA3C82">
        <w:rPr>
          <w:rFonts w:ascii="Calibri" w:hAnsi="Calibri" w:cs="Calibri"/>
          <w:color w:val="231F20"/>
          <w:spacing w:val="-10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co-operation,</w:t>
      </w:r>
      <w:r w:rsidRPr="00CA3C82">
        <w:rPr>
          <w:rFonts w:ascii="Calibri" w:hAnsi="Calibri" w:cs="Calibri"/>
          <w:color w:val="231F20"/>
          <w:spacing w:val="-10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cross-border</w:t>
      </w:r>
      <w:r w:rsidRPr="00CA3C82">
        <w:rPr>
          <w:rFonts w:ascii="Calibri" w:hAnsi="Calibri" w:cs="Calibri"/>
          <w:color w:val="231F20"/>
          <w:spacing w:val="-10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crime</w:t>
      </w:r>
      <w:r w:rsidRPr="00CA3C82">
        <w:rPr>
          <w:rFonts w:ascii="Calibri" w:hAnsi="Calibri" w:cs="Calibri"/>
          <w:color w:val="231F20"/>
          <w:spacing w:val="-10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>and</w:t>
      </w:r>
      <w:r w:rsidRPr="00CA3C82">
        <w:rPr>
          <w:rFonts w:ascii="Calibri" w:hAnsi="Calibri" w:cs="Calibri"/>
          <w:color w:val="231F20"/>
          <w:spacing w:val="-10"/>
          <w:sz w:val="22"/>
          <w:szCs w:val="22"/>
        </w:rPr>
        <w:t xml:space="preserve"> </w:t>
      </w:r>
      <w:r w:rsidRPr="00CA3C82">
        <w:rPr>
          <w:rFonts w:ascii="Calibri" w:hAnsi="Calibri" w:cs="Calibri"/>
          <w:color w:val="231F20"/>
          <w:spacing w:val="-2"/>
          <w:sz w:val="22"/>
          <w:szCs w:val="22"/>
        </w:rPr>
        <w:t xml:space="preserve">other </w:t>
      </w:r>
      <w:r w:rsidRPr="00CA3C82">
        <w:rPr>
          <w:rFonts w:ascii="Calibri" w:hAnsi="Calibri" w:cs="Calibri"/>
          <w:color w:val="231F20"/>
          <w:sz w:val="22"/>
          <w:szCs w:val="22"/>
        </w:rPr>
        <w:t>specialist areas that require expertise not ordinarily available to national training institutes.</w:t>
      </w:r>
    </w:p>
    <w:p w14:paraId="520E3F5C" w14:textId="77777777" w:rsidR="00322207" w:rsidRPr="00A42B20" w:rsidRDefault="00322207" w:rsidP="00322207">
      <w:pPr>
        <w:pStyle w:val="Body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7A186A4" w14:textId="77777777" w:rsidR="00322207" w:rsidRPr="00CA3C82" w:rsidRDefault="00322207" w:rsidP="00322207">
      <w:pPr>
        <w:widowControl w:val="0"/>
        <w:tabs>
          <w:tab w:val="left" w:pos="4063"/>
          <w:tab w:val="left" w:pos="4065"/>
        </w:tabs>
        <w:autoSpaceDE w:val="0"/>
        <w:autoSpaceDN w:val="0"/>
        <w:spacing w:line="276" w:lineRule="auto"/>
        <w:ind w:right="11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 xml:space="preserve">3.4.  </w:t>
      </w:r>
      <w:r w:rsidRPr="00CA3C82">
        <w:rPr>
          <w:rFonts w:ascii="Calibri" w:hAnsi="Calibri" w:cs="Calibri"/>
          <w:color w:val="231F20"/>
          <w:sz w:val="22"/>
          <w:szCs w:val="22"/>
        </w:rPr>
        <w:t xml:space="preserve">The Sub-Committee shall take appropriate measures to enable the Global Training Academy to </w:t>
      </w:r>
      <w:r w:rsidRPr="00CA3C82">
        <w:rPr>
          <w:rFonts w:ascii="Calibri" w:hAnsi="Calibri" w:cs="Calibri"/>
          <w:color w:val="231F20"/>
          <w:sz w:val="22"/>
          <w:szCs w:val="22"/>
        </w:rPr>
        <w:lastRenderedPageBreak/>
        <w:t>bring together prosecutors from different jurisdictions and legal systems to build professional cross-border relationships, exchange knowledge and experience and share best practice.</w:t>
      </w:r>
    </w:p>
    <w:p w14:paraId="5AB6E95D" w14:textId="77777777" w:rsidR="00322207" w:rsidRPr="00A42B20" w:rsidRDefault="00322207" w:rsidP="00322207">
      <w:pPr>
        <w:widowControl w:val="0"/>
        <w:tabs>
          <w:tab w:val="left" w:pos="4063"/>
          <w:tab w:val="left" w:pos="4065"/>
        </w:tabs>
        <w:autoSpaceDE w:val="0"/>
        <w:autoSpaceDN w:val="0"/>
        <w:spacing w:line="276" w:lineRule="auto"/>
        <w:ind w:right="119"/>
        <w:jc w:val="both"/>
        <w:rPr>
          <w:rFonts w:ascii="Calibri" w:hAnsi="Calibri" w:cs="Calibri"/>
          <w:sz w:val="22"/>
          <w:szCs w:val="22"/>
        </w:rPr>
      </w:pPr>
    </w:p>
    <w:p w14:paraId="36237FEF" w14:textId="77777777" w:rsidR="00322207" w:rsidRDefault="00322207" w:rsidP="0032220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EFC3ED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42B20">
        <w:rPr>
          <w:rFonts w:ascii="Calibri" w:hAnsi="Calibri" w:cs="Calibri"/>
          <w:b/>
          <w:bCs/>
          <w:sz w:val="22"/>
          <w:szCs w:val="22"/>
        </w:rPr>
        <w:t>4.  Procedure</w:t>
      </w:r>
    </w:p>
    <w:p w14:paraId="2B3C153E" w14:textId="77777777" w:rsidR="00322207" w:rsidRPr="00A42B20" w:rsidRDefault="00322207" w:rsidP="00322207">
      <w:pPr>
        <w:pStyle w:val="ListParagraph"/>
        <w:spacing w:line="276" w:lineRule="auto"/>
        <w:ind w:left="4065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07C391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4.1.  The Sub-Committee will meet at least twice a year.  Meetings can be in-person, online, or in a hybrid format.</w:t>
      </w:r>
    </w:p>
    <w:p w14:paraId="33E65590" w14:textId="77777777" w:rsidR="00322207" w:rsidRPr="00A42B20" w:rsidRDefault="00322207" w:rsidP="00322207">
      <w:pPr>
        <w:pStyle w:val="ListParagraph"/>
        <w:spacing w:line="276" w:lineRule="auto"/>
        <w:ind w:left="4065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66D3E85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 xml:space="preserve">4.2.  The quorum for any meeting shall be </w:t>
      </w:r>
      <w:r>
        <w:rPr>
          <w:rFonts w:ascii="Calibri" w:hAnsi="Calibri" w:cs="Calibri"/>
          <w:sz w:val="22"/>
          <w:szCs w:val="22"/>
        </w:rPr>
        <w:t>a simple majority of the Sub-Committee’s membership.</w:t>
      </w:r>
    </w:p>
    <w:p w14:paraId="4804398D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520A9C4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4.3.  The Sub-Committee should aim for consensus on all decisions.  If consensus cannot be reached, the Sub-Committee shall make its decisions by a simple majority of members present and voting.</w:t>
      </w:r>
      <w:r>
        <w:rPr>
          <w:rFonts w:ascii="Calibri" w:hAnsi="Calibri" w:cs="Calibri"/>
          <w:sz w:val="22"/>
          <w:szCs w:val="22"/>
        </w:rPr>
        <w:t xml:space="preserve"> </w:t>
      </w:r>
      <w:r w:rsidRPr="00C466EE">
        <w:rPr>
          <w:rFonts w:ascii="Calibri" w:hAnsi="Calibri" w:cs="Calibri"/>
          <w:sz w:val="22"/>
          <w:szCs w:val="22"/>
        </w:rPr>
        <w:t xml:space="preserve"> In those circumstances, majority</w:t>
      </w:r>
      <w:r w:rsidRPr="00C466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466EE">
        <w:rPr>
          <w:rFonts w:ascii="Calibri" w:hAnsi="Calibri" w:cs="Calibri"/>
          <w:sz w:val="22"/>
          <w:szCs w:val="22"/>
        </w:rPr>
        <w:t>and</w:t>
      </w:r>
      <w:r w:rsidRPr="00C466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466EE">
        <w:rPr>
          <w:rFonts w:ascii="Calibri" w:hAnsi="Calibri" w:cs="Calibri"/>
          <w:sz w:val="22"/>
          <w:szCs w:val="22"/>
        </w:rPr>
        <w:t>minority</w:t>
      </w:r>
      <w:r w:rsidRPr="00C466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466EE">
        <w:rPr>
          <w:rFonts w:ascii="Calibri" w:hAnsi="Calibri" w:cs="Calibri"/>
          <w:sz w:val="22"/>
          <w:szCs w:val="22"/>
        </w:rPr>
        <w:t>positions</w:t>
      </w:r>
      <w:r w:rsidRPr="00C466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466EE">
        <w:rPr>
          <w:rFonts w:ascii="Calibri" w:hAnsi="Calibri" w:cs="Calibri"/>
          <w:sz w:val="22"/>
          <w:szCs w:val="22"/>
        </w:rPr>
        <w:t>shall be noted in the minutes of the meeting and shall be reported to the Executive Committee.</w:t>
      </w:r>
    </w:p>
    <w:p w14:paraId="311DB259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B4FDA9F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4.4.  The Sub-Committee shall make a report of its actions and conclusions for each Executive Committee meeting and for the General Meeting.</w:t>
      </w:r>
    </w:p>
    <w:p w14:paraId="2182DAE2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413D0C4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4.5.  Any recommendations of the Sub-Committee are not binding on the Executive Committee.</w:t>
      </w:r>
    </w:p>
    <w:p w14:paraId="773CBFAC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0922CD5" w14:textId="77777777" w:rsidR="00322207" w:rsidRPr="00A42B20" w:rsidRDefault="00322207" w:rsidP="00322207">
      <w:pPr>
        <w:widowControl w:val="0"/>
        <w:tabs>
          <w:tab w:val="left" w:pos="4515"/>
          <w:tab w:val="left" w:pos="4518"/>
        </w:tabs>
        <w:autoSpaceDE w:val="0"/>
        <w:autoSpaceDN w:val="0"/>
        <w:spacing w:line="276" w:lineRule="auto"/>
        <w:ind w:right="116"/>
        <w:jc w:val="both"/>
        <w:rPr>
          <w:rFonts w:ascii="Calibri" w:hAnsi="Calibri" w:cs="Calibri"/>
          <w:sz w:val="22"/>
          <w:szCs w:val="22"/>
        </w:rPr>
      </w:pPr>
    </w:p>
    <w:p w14:paraId="32CED141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42B20">
        <w:rPr>
          <w:rFonts w:ascii="Calibri" w:hAnsi="Calibri" w:cs="Calibri"/>
          <w:b/>
          <w:bCs/>
          <w:sz w:val="22"/>
          <w:szCs w:val="22"/>
        </w:rPr>
        <w:t>5.  Rules of procedure</w:t>
      </w:r>
    </w:p>
    <w:p w14:paraId="433E776A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77FE51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B20">
        <w:rPr>
          <w:rFonts w:ascii="Calibri" w:hAnsi="Calibri" w:cs="Calibri"/>
          <w:sz w:val="22"/>
          <w:szCs w:val="22"/>
        </w:rPr>
        <w:t>5.1.  The Sub-Committee may make and vary its own rules of procedure, including these Terms.</w:t>
      </w:r>
    </w:p>
    <w:p w14:paraId="6C6436F9" w14:textId="77777777" w:rsidR="00322207" w:rsidRDefault="00322207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C2EC57" w14:textId="77777777" w:rsidR="00BB72E5" w:rsidRDefault="00BB72E5" w:rsidP="003222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4D6BB58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Pr="00A42B20">
        <w:rPr>
          <w:rFonts w:ascii="Calibri" w:hAnsi="Calibri" w:cs="Calibri"/>
          <w:b/>
          <w:bCs/>
          <w:sz w:val="22"/>
          <w:szCs w:val="22"/>
        </w:rPr>
        <w:t xml:space="preserve">.  Record keeping </w:t>
      </w:r>
    </w:p>
    <w:p w14:paraId="4CDE0A6A" w14:textId="77777777" w:rsidR="00322207" w:rsidRPr="00A42B20" w:rsidRDefault="00322207" w:rsidP="0032220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0C130C" w14:textId="7D42707A" w:rsidR="00322207" w:rsidRDefault="00322207" w:rsidP="003222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A42B20">
        <w:rPr>
          <w:rFonts w:ascii="Calibri" w:hAnsi="Calibri" w:cs="Calibri"/>
          <w:sz w:val="22"/>
          <w:szCs w:val="22"/>
        </w:rPr>
        <w:t>.1.  A record should be kept of each Sub-Committee meeting and of any actions that take place pursuant to conclusions reached at a Sub-Committee meeting.  The record of the meeting should be sent to the IAP Secretariat for storage in the IAP archives.</w:t>
      </w:r>
    </w:p>
    <w:p w14:paraId="1C9D6E08" w14:textId="77777777" w:rsidR="00F23CD9" w:rsidRDefault="00F23CD9" w:rsidP="00322207">
      <w:pPr>
        <w:rPr>
          <w:rFonts w:ascii="Calibri" w:hAnsi="Calibri" w:cs="Calibri"/>
          <w:sz w:val="22"/>
          <w:szCs w:val="22"/>
        </w:rPr>
      </w:pPr>
    </w:p>
    <w:p w14:paraId="53D82B70" w14:textId="77777777" w:rsidR="00F23CD9" w:rsidRDefault="00F23CD9" w:rsidP="00322207">
      <w:pPr>
        <w:rPr>
          <w:rFonts w:ascii="Calibri" w:hAnsi="Calibri" w:cs="Calibri"/>
          <w:sz w:val="22"/>
          <w:szCs w:val="22"/>
        </w:rPr>
      </w:pPr>
    </w:p>
    <w:p w14:paraId="3DD5708A" w14:textId="77777777" w:rsidR="00F23CD9" w:rsidRPr="00F23CD9" w:rsidRDefault="00F23CD9" w:rsidP="00F23CD9">
      <w:pPr>
        <w:rPr>
          <w:rFonts w:ascii="Calibri" w:hAnsi="Calibri" w:cs="Calibri"/>
          <w:b/>
          <w:bCs/>
          <w:sz w:val="22"/>
          <w:szCs w:val="22"/>
        </w:rPr>
      </w:pPr>
      <w:r w:rsidRPr="00F23CD9">
        <w:rPr>
          <w:rFonts w:ascii="Calibri" w:hAnsi="Calibri" w:cs="Calibri"/>
          <w:b/>
          <w:bCs/>
          <w:sz w:val="22"/>
          <w:szCs w:val="22"/>
        </w:rPr>
        <w:t>Approved by the IAP Executive Committee on 28 September 2024 in Baku, Azerbaijan.</w:t>
      </w:r>
    </w:p>
    <w:p w14:paraId="404B24DE" w14:textId="77777777" w:rsidR="00F23CD9" w:rsidRPr="00F23CD9" w:rsidRDefault="00F23CD9" w:rsidP="00F23CD9">
      <w:pPr>
        <w:rPr>
          <w:rFonts w:ascii="Calibri" w:hAnsi="Calibri" w:cs="Calibri"/>
          <w:b/>
          <w:bCs/>
          <w:sz w:val="22"/>
          <w:szCs w:val="22"/>
        </w:rPr>
      </w:pPr>
      <w:r w:rsidRPr="00F23CD9">
        <w:rPr>
          <w:rFonts w:ascii="Calibri" w:hAnsi="Calibri" w:cs="Calibri"/>
          <w:b/>
          <w:bCs/>
          <w:sz w:val="22"/>
          <w:szCs w:val="22"/>
        </w:rPr>
        <w:t>In force with immediate effect.</w:t>
      </w:r>
    </w:p>
    <w:p w14:paraId="5DB71AB6" w14:textId="77777777" w:rsidR="00F23CD9" w:rsidRDefault="00F23CD9" w:rsidP="00322207"/>
    <w:sectPr w:rsidR="00F23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4BE6"/>
    <w:multiLevelType w:val="hybridMultilevel"/>
    <w:tmpl w:val="E9E2035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053D8"/>
    <w:multiLevelType w:val="hybridMultilevel"/>
    <w:tmpl w:val="9014E11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6159444">
    <w:abstractNumId w:val="0"/>
  </w:num>
  <w:num w:numId="2" w16cid:durableId="141617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07"/>
    <w:rsid w:val="001D7C37"/>
    <w:rsid w:val="002520AF"/>
    <w:rsid w:val="002F7200"/>
    <w:rsid w:val="003214CD"/>
    <w:rsid w:val="00322207"/>
    <w:rsid w:val="004161EE"/>
    <w:rsid w:val="00534BFB"/>
    <w:rsid w:val="0068450E"/>
    <w:rsid w:val="00900369"/>
    <w:rsid w:val="0091720D"/>
    <w:rsid w:val="00966572"/>
    <w:rsid w:val="00AE5C77"/>
    <w:rsid w:val="00B96A1B"/>
    <w:rsid w:val="00BB72E5"/>
    <w:rsid w:val="00C72D82"/>
    <w:rsid w:val="00EA5311"/>
    <w:rsid w:val="00F23CD9"/>
    <w:rsid w:val="00F6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2D37"/>
  <w15:chartTrackingRefBased/>
  <w15:docId w15:val="{8D4E5168-D533-4A9A-A028-9136B516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07"/>
    <w:pPr>
      <w:spacing w:after="0" w:line="240" w:lineRule="auto"/>
    </w:pPr>
    <w:rPr>
      <w:rFonts w:ascii="Century Gothic" w:eastAsia="Times New Roman" w:hAnsi="Century Gothic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2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2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2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22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0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22207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22207"/>
    <w:pPr>
      <w:widowControl w:val="0"/>
      <w:autoSpaceDE w:val="0"/>
      <w:autoSpaceDN w:val="0"/>
    </w:pPr>
    <w:rPr>
      <w:rFonts w:ascii="Times New Roman" w:hAnsi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2220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Counsel</dc:creator>
  <cp:keywords/>
  <dc:description/>
  <cp:lastModifiedBy>General Counsel</cp:lastModifiedBy>
  <cp:revision>11</cp:revision>
  <dcterms:created xsi:type="dcterms:W3CDTF">2024-08-27T17:56:00Z</dcterms:created>
  <dcterms:modified xsi:type="dcterms:W3CDTF">2024-12-07T13:51:00Z</dcterms:modified>
</cp:coreProperties>
</file>