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B09BB" w14:textId="77777777" w:rsidR="00CB7675" w:rsidRDefault="00CB7675" w:rsidP="00737172">
      <w:pPr>
        <w:spacing w:line="276" w:lineRule="auto"/>
        <w:jc w:val="center"/>
        <w:rPr>
          <w:rStyle w:val="Strong"/>
          <w:rFonts w:ascii="Calibri" w:eastAsiaTheme="majorEastAsia" w:hAnsi="Calibri" w:cs="Calibri"/>
          <w:color w:val="000000"/>
          <w:sz w:val="22"/>
          <w:szCs w:val="22"/>
          <w:u w:val="single"/>
        </w:rPr>
      </w:pPr>
      <w:r w:rsidRPr="00E31307">
        <w:rPr>
          <w:rStyle w:val="Strong"/>
          <w:rFonts w:ascii="Calibri" w:eastAsiaTheme="majorEastAsia" w:hAnsi="Calibri" w:cs="Calibri"/>
          <w:color w:val="000000"/>
          <w:sz w:val="22"/>
          <w:szCs w:val="22"/>
          <w:u w:val="single"/>
        </w:rPr>
        <w:t>SPONSORSHIP POLICY</w:t>
      </w:r>
    </w:p>
    <w:p w14:paraId="76661113" w14:textId="77777777" w:rsidR="00737172" w:rsidRPr="00E31307" w:rsidRDefault="00737172" w:rsidP="00737172">
      <w:pPr>
        <w:spacing w:line="276" w:lineRule="auto"/>
        <w:jc w:val="center"/>
        <w:rPr>
          <w:rStyle w:val="Strong"/>
          <w:rFonts w:ascii="Calibri" w:eastAsiaTheme="majorEastAsia" w:hAnsi="Calibri" w:cs="Calibri"/>
          <w:color w:val="000000"/>
          <w:sz w:val="22"/>
          <w:szCs w:val="22"/>
          <w:u w:val="single"/>
        </w:rPr>
      </w:pPr>
    </w:p>
    <w:p w14:paraId="41B10E4B" w14:textId="77777777" w:rsidR="00CB7675" w:rsidRPr="00E31307" w:rsidRDefault="00CB7675" w:rsidP="00CB7675">
      <w:pPr>
        <w:spacing w:line="276" w:lineRule="auto"/>
        <w:jc w:val="both"/>
        <w:rPr>
          <w:rFonts w:ascii="Calibri" w:hAnsi="Calibri" w:cs="Calibri"/>
          <w:sz w:val="22"/>
          <w:szCs w:val="22"/>
        </w:rPr>
      </w:pPr>
    </w:p>
    <w:p w14:paraId="407E3866" w14:textId="77777777" w:rsidR="00CB7675" w:rsidRPr="00E31307" w:rsidRDefault="00CB7675" w:rsidP="00CB7675">
      <w:pPr>
        <w:spacing w:line="276" w:lineRule="auto"/>
        <w:jc w:val="both"/>
        <w:rPr>
          <w:rFonts w:ascii="Calibri" w:hAnsi="Calibri" w:cs="Calibri"/>
          <w:b/>
          <w:bCs/>
          <w:sz w:val="22"/>
          <w:szCs w:val="22"/>
        </w:rPr>
      </w:pPr>
      <w:r w:rsidRPr="00E31307">
        <w:rPr>
          <w:rFonts w:ascii="Calibri" w:hAnsi="Calibri" w:cs="Calibri"/>
          <w:b/>
          <w:bCs/>
          <w:sz w:val="22"/>
          <w:szCs w:val="22"/>
        </w:rPr>
        <w:t>1.  Purpose</w:t>
      </w:r>
    </w:p>
    <w:p w14:paraId="45468323" w14:textId="77777777" w:rsidR="00CB7675" w:rsidRPr="00E31307" w:rsidRDefault="00CB7675" w:rsidP="00CB7675">
      <w:pPr>
        <w:spacing w:line="276" w:lineRule="auto"/>
        <w:jc w:val="both"/>
        <w:rPr>
          <w:rFonts w:ascii="Calibri" w:hAnsi="Calibri" w:cs="Calibri"/>
          <w:sz w:val="22"/>
          <w:szCs w:val="22"/>
        </w:rPr>
      </w:pPr>
    </w:p>
    <w:p w14:paraId="3D21A6A3" w14:textId="77777777" w:rsidR="00CB7675" w:rsidRDefault="00CB7675" w:rsidP="00CB7675">
      <w:pPr>
        <w:spacing w:line="276" w:lineRule="auto"/>
        <w:jc w:val="both"/>
        <w:rPr>
          <w:rFonts w:ascii="Calibri" w:hAnsi="Calibri" w:cs="Calibri"/>
          <w:sz w:val="22"/>
          <w:szCs w:val="22"/>
        </w:rPr>
      </w:pPr>
      <w:r w:rsidRPr="00E31307">
        <w:rPr>
          <w:rFonts w:ascii="Calibri" w:hAnsi="Calibri" w:cs="Calibri"/>
          <w:sz w:val="22"/>
          <w:szCs w:val="22"/>
        </w:rPr>
        <w:t xml:space="preserve">1.1.  This Sponsorship Policy </w:t>
      </w:r>
      <w:r>
        <w:rPr>
          <w:rFonts w:ascii="Calibri" w:hAnsi="Calibri" w:cs="Calibri"/>
          <w:sz w:val="22"/>
          <w:szCs w:val="22"/>
        </w:rPr>
        <w:t xml:space="preserve">(the Policy) </w:t>
      </w:r>
      <w:r w:rsidRPr="00E31307">
        <w:rPr>
          <w:rFonts w:ascii="Calibri" w:hAnsi="Calibri" w:cs="Calibri"/>
          <w:sz w:val="22"/>
          <w:szCs w:val="22"/>
        </w:rPr>
        <w:t>governs the approach of the International Association of Prosecutors (the IAP) to the sourcing and use of commercial and non-commercial sponsorship.</w:t>
      </w:r>
    </w:p>
    <w:p w14:paraId="4F029BA6" w14:textId="77777777" w:rsidR="00CB7675" w:rsidRDefault="00CB7675" w:rsidP="00CB7675">
      <w:pPr>
        <w:spacing w:line="276" w:lineRule="auto"/>
        <w:jc w:val="both"/>
        <w:rPr>
          <w:rFonts w:ascii="Calibri" w:hAnsi="Calibri" w:cs="Calibri"/>
          <w:sz w:val="22"/>
          <w:szCs w:val="22"/>
        </w:rPr>
      </w:pPr>
    </w:p>
    <w:p w14:paraId="321A0061" w14:textId="77777777" w:rsidR="00CB7675" w:rsidRPr="004C6D7C" w:rsidRDefault="00CB7675" w:rsidP="00CB7675">
      <w:pPr>
        <w:spacing w:line="276" w:lineRule="auto"/>
        <w:jc w:val="both"/>
        <w:rPr>
          <w:rFonts w:ascii="Calibri" w:hAnsi="Calibri" w:cs="Calibri"/>
          <w:sz w:val="22"/>
          <w:szCs w:val="22"/>
        </w:rPr>
      </w:pPr>
      <w:r w:rsidRPr="004C6D7C">
        <w:rPr>
          <w:rFonts w:ascii="Calibri" w:hAnsi="Calibri" w:cs="Calibri"/>
          <w:sz w:val="22"/>
          <w:szCs w:val="22"/>
        </w:rPr>
        <w:t xml:space="preserve">1.2.  For the purposes of this Policy, ‘commercial sponsorship’ is defined as a direct or indirect monetary or other contribution that is paid in return for access to exploitable commercial potential. </w:t>
      </w:r>
    </w:p>
    <w:p w14:paraId="2A8D513F" w14:textId="77777777" w:rsidR="00CB7675" w:rsidRPr="004C6D7C" w:rsidRDefault="00CB7675" w:rsidP="00CB7675">
      <w:pPr>
        <w:spacing w:line="276" w:lineRule="auto"/>
        <w:jc w:val="both"/>
        <w:rPr>
          <w:rFonts w:ascii="Calibri" w:hAnsi="Calibri" w:cs="Calibri"/>
          <w:sz w:val="22"/>
          <w:szCs w:val="22"/>
        </w:rPr>
      </w:pPr>
    </w:p>
    <w:p w14:paraId="0A72A6B8" w14:textId="77777777" w:rsidR="00CB7675" w:rsidRDefault="00CB7675" w:rsidP="00CB7675">
      <w:pPr>
        <w:spacing w:line="276" w:lineRule="auto"/>
        <w:jc w:val="both"/>
        <w:rPr>
          <w:rFonts w:ascii="Calibri" w:hAnsi="Calibri" w:cs="Calibri"/>
          <w:sz w:val="22"/>
          <w:szCs w:val="22"/>
        </w:rPr>
      </w:pPr>
      <w:r w:rsidRPr="004C6D7C">
        <w:rPr>
          <w:rFonts w:ascii="Calibri" w:hAnsi="Calibri" w:cs="Calibri"/>
          <w:sz w:val="22"/>
          <w:szCs w:val="22"/>
        </w:rPr>
        <w:t>1.3.  For the purposes of this Policy, ‘non-commercial sponsorship’ is defined as</w:t>
      </w:r>
      <w:r>
        <w:rPr>
          <w:rFonts w:ascii="Calibri" w:hAnsi="Calibri" w:cs="Calibri"/>
          <w:sz w:val="22"/>
          <w:szCs w:val="22"/>
        </w:rPr>
        <w:t xml:space="preserve"> direct or indirect monetary or other contribution by a sponsor for no commercial or financial gain.</w:t>
      </w:r>
    </w:p>
    <w:p w14:paraId="6B72A999" w14:textId="77777777" w:rsidR="00CB7675" w:rsidRDefault="00CB7675" w:rsidP="00CB7675">
      <w:pPr>
        <w:spacing w:line="276" w:lineRule="auto"/>
        <w:jc w:val="both"/>
        <w:rPr>
          <w:rFonts w:ascii="Calibri" w:hAnsi="Calibri" w:cs="Calibri"/>
          <w:sz w:val="22"/>
          <w:szCs w:val="22"/>
        </w:rPr>
      </w:pPr>
    </w:p>
    <w:p w14:paraId="28E13ABC" w14:textId="77777777" w:rsidR="00CB7675" w:rsidRPr="00E31307" w:rsidRDefault="00CB7675" w:rsidP="00CB7675">
      <w:pPr>
        <w:spacing w:line="276" w:lineRule="auto"/>
        <w:jc w:val="both"/>
        <w:rPr>
          <w:rFonts w:ascii="Calibri" w:hAnsi="Calibri" w:cs="Calibri"/>
          <w:sz w:val="22"/>
          <w:szCs w:val="22"/>
        </w:rPr>
      </w:pPr>
      <w:r>
        <w:rPr>
          <w:rFonts w:ascii="Calibri" w:hAnsi="Calibri" w:cs="Calibri"/>
          <w:sz w:val="22"/>
          <w:szCs w:val="22"/>
        </w:rPr>
        <w:t>1.4. For the purposes of this Policy, the term ‘sponsorship’ relates to both commercial sponsorship and non-commercial sponsorship.</w:t>
      </w:r>
    </w:p>
    <w:p w14:paraId="6397045A" w14:textId="77777777" w:rsidR="00CB7675" w:rsidRPr="00E31307" w:rsidRDefault="00CB7675" w:rsidP="00CB7675">
      <w:pPr>
        <w:spacing w:line="276" w:lineRule="auto"/>
        <w:jc w:val="both"/>
        <w:rPr>
          <w:rFonts w:ascii="Calibri" w:hAnsi="Calibri" w:cs="Calibri"/>
          <w:sz w:val="22"/>
          <w:szCs w:val="22"/>
        </w:rPr>
      </w:pPr>
    </w:p>
    <w:p w14:paraId="338EEA88" w14:textId="77777777" w:rsidR="00CB7675" w:rsidRPr="00E31307" w:rsidRDefault="00CB7675" w:rsidP="00CB7675">
      <w:pPr>
        <w:spacing w:line="276" w:lineRule="auto"/>
        <w:jc w:val="both"/>
        <w:rPr>
          <w:rFonts w:ascii="Calibri" w:hAnsi="Calibri" w:cs="Calibri"/>
          <w:sz w:val="22"/>
          <w:szCs w:val="22"/>
        </w:rPr>
      </w:pPr>
    </w:p>
    <w:p w14:paraId="0CC82439" w14:textId="77777777" w:rsidR="00CB7675" w:rsidRPr="00E31307" w:rsidRDefault="00CB7675" w:rsidP="00CB7675">
      <w:pPr>
        <w:spacing w:line="276" w:lineRule="auto"/>
        <w:jc w:val="both"/>
        <w:rPr>
          <w:rFonts w:ascii="Calibri" w:hAnsi="Calibri" w:cs="Calibri"/>
          <w:b/>
          <w:bCs/>
          <w:sz w:val="22"/>
          <w:szCs w:val="22"/>
        </w:rPr>
      </w:pPr>
      <w:r w:rsidRPr="00E31307">
        <w:rPr>
          <w:rFonts w:ascii="Calibri" w:hAnsi="Calibri" w:cs="Calibri"/>
          <w:b/>
          <w:bCs/>
          <w:sz w:val="22"/>
          <w:szCs w:val="22"/>
        </w:rPr>
        <w:t xml:space="preserve">2.  Principles </w:t>
      </w:r>
    </w:p>
    <w:p w14:paraId="752256C0" w14:textId="77777777" w:rsidR="00CB7675" w:rsidRPr="00E31307" w:rsidRDefault="00CB7675" w:rsidP="00CB7675">
      <w:pPr>
        <w:spacing w:line="276" w:lineRule="auto"/>
        <w:jc w:val="both"/>
        <w:rPr>
          <w:rFonts w:ascii="Calibri" w:hAnsi="Calibri" w:cs="Calibri"/>
          <w:sz w:val="22"/>
          <w:szCs w:val="22"/>
          <w:u w:color="FF0000"/>
          <w:lang w:val="en-US"/>
        </w:rPr>
      </w:pPr>
    </w:p>
    <w:p w14:paraId="4166FEDC"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r w:rsidRPr="00E31307">
        <w:rPr>
          <w:rFonts w:ascii="Calibri" w:hAnsi="Calibri" w:cs="Calibri"/>
          <w:sz w:val="22"/>
          <w:szCs w:val="22"/>
          <w:lang w:val="en-US"/>
        </w:rPr>
        <w:t xml:space="preserve">2.1.  The IAP will not seek sponsorship to offset or fund its regular operational running costs. </w:t>
      </w:r>
    </w:p>
    <w:p w14:paraId="274C022F" w14:textId="77777777" w:rsidR="00CB7675" w:rsidRPr="00E31307" w:rsidRDefault="00CB7675" w:rsidP="00CB7675">
      <w:pPr>
        <w:pStyle w:val="ListParagraph"/>
        <w:pBdr>
          <w:top w:val="nil"/>
          <w:left w:val="nil"/>
          <w:bottom w:val="nil"/>
          <w:right w:val="nil"/>
          <w:between w:val="nil"/>
          <w:bar w:val="nil"/>
        </w:pBdr>
        <w:spacing w:line="276" w:lineRule="auto"/>
        <w:ind w:left="426"/>
        <w:contextualSpacing w:val="0"/>
        <w:jc w:val="both"/>
        <w:rPr>
          <w:rFonts w:ascii="Calibri" w:hAnsi="Calibri" w:cs="Calibri"/>
          <w:sz w:val="22"/>
          <w:szCs w:val="22"/>
          <w:lang w:val="en-US"/>
        </w:rPr>
      </w:pPr>
    </w:p>
    <w:p w14:paraId="29FC8AC2"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r w:rsidRPr="00E31307">
        <w:rPr>
          <w:rFonts w:ascii="Calibri" w:hAnsi="Calibri" w:cs="Calibri"/>
          <w:sz w:val="22"/>
          <w:szCs w:val="22"/>
          <w:lang w:val="en-US"/>
        </w:rPr>
        <w:t>2.2.  The IAP can  seek and accept appropriate offers of sponsorship to support its work programmes and projects and to subsidise activities such as its conferences and training events.</w:t>
      </w:r>
    </w:p>
    <w:p w14:paraId="58640B78" w14:textId="77777777" w:rsidR="00CB7675" w:rsidRPr="00E31307" w:rsidRDefault="00CB7675" w:rsidP="00CB7675">
      <w:pPr>
        <w:pStyle w:val="ListParagraph"/>
        <w:pBdr>
          <w:top w:val="nil"/>
          <w:left w:val="nil"/>
          <w:bottom w:val="nil"/>
          <w:right w:val="nil"/>
          <w:between w:val="nil"/>
          <w:bar w:val="nil"/>
        </w:pBdr>
        <w:spacing w:line="276" w:lineRule="auto"/>
        <w:ind w:left="426"/>
        <w:contextualSpacing w:val="0"/>
        <w:jc w:val="both"/>
        <w:rPr>
          <w:rFonts w:ascii="Calibri" w:hAnsi="Calibri" w:cs="Calibri"/>
          <w:sz w:val="22"/>
          <w:szCs w:val="22"/>
          <w:lang w:val="en-US"/>
        </w:rPr>
      </w:pPr>
    </w:p>
    <w:p w14:paraId="1118D004"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r w:rsidRPr="00E31307">
        <w:rPr>
          <w:rFonts w:ascii="Calibri" w:hAnsi="Calibri" w:cs="Calibri"/>
          <w:sz w:val="22"/>
          <w:szCs w:val="22"/>
          <w:lang w:val="en-US"/>
        </w:rPr>
        <w:t>2.3.  The IAP must:</w:t>
      </w:r>
    </w:p>
    <w:p w14:paraId="7FF0DF9F" w14:textId="76E6CDE8" w:rsidR="00CB7675" w:rsidRDefault="00CB7675" w:rsidP="00CB7675">
      <w:pPr>
        <w:pStyle w:val="ListParagraph"/>
        <w:numPr>
          <w:ilvl w:val="0"/>
          <w:numId w:val="1"/>
        </w:numPr>
        <w:pBdr>
          <w:top w:val="nil"/>
          <w:left w:val="nil"/>
          <w:bottom w:val="nil"/>
          <w:right w:val="nil"/>
          <w:between w:val="nil"/>
          <w:bar w:val="nil"/>
        </w:pBdr>
        <w:spacing w:line="276" w:lineRule="auto"/>
        <w:jc w:val="both"/>
        <w:rPr>
          <w:rFonts w:ascii="Calibri" w:hAnsi="Calibri" w:cs="Calibri"/>
          <w:sz w:val="22"/>
          <w:szCs w:val="22"/>
          <w:lang w:val="en-US"/>
        </w:rPr>
      </w:pPr>
      <w:r w:rsidRPr="00E171B3">
        <w:rPr>
          <w:rFonts w:ascii="Calibri" w:hAnsi="Calibri" w:cs="Calibri"/>
          <w:sz w:val="22"/>
          <w:szCs w:val="22"/>
          <w:lang w:val="en-US"/>
        </w:rPr>
        <w:t>Ensure that the source of any such sponsorship is appropriate</w:t>
      </w:r>
      <w:r>
        <w:rPr>
          <w:rFonts w:ascii="Calibri" w:hAnsi="Calibri" w:cs="Calibri"/>
          <w:sz w:val="22"/>
          <w:szCs w:val="22"/>
          <w:lang w:val="en-US"/>
        </w:rPr>
        <w:t>, having regard to the Objects of the IAP</w:t>
      </w:r>
      <w:r w:rsidRPr="00E171B3">
        <w:rPr>
          <w:rFonts w:ascii="Calibri" w:hAnsi="Calibri" w:cs="Calibri"/>
          <w:sz w:val="22"/>
          <w:szCs w:val="22"/>
          <w:lang w:val="en-US"/>
        </w:rPr>
        <w:t xml:space="preserve">; </w:t>
      </w:r>
    </w:p>
    <w:p w14:paraId="56BFE37A" w14:textId="7D1EF293" w:rsidR="00CB7675" w:rsidRDefault="00CB7675" w:rsidP="00CB7675">
      <w:pPr>
        <w:pStyle w:val="ListParagraph"/>
        <w:numPr>
          <w:ilvl w:val="0"/>
          <w:numId w:val="1"/>
        </w:numPr>
        <w:pBdr>
          <w:top w:val="nil"/>
          <w:left w:val="nil"/>
          <w:bottom w:val="nil"/>
          <w:right w:val="nil"/>
          <w:between w:val="nil"/>
          <w:bar w:val="nil"/>
        </w:pBdr>
        <w:spacing w:line="276" w:lineRule="auto"/>
        <w:jc w:val="both"/>
        <w:rPr>
          <w:rFonts w:ascii="Calibri" w:hAnsi="Calibri" w:cs="Calibri"/>
          <w:sz w:val="22"/>
          <w:szCs w:val="22"/>
          <w:lang w:val="en-US"/>
        </w:rPr>
      </w:pPr>
      <w:r w:rsidRPr="00E171B3">
        <w:rPr>
          <w:rFonts w:ascii="Calibri" w:hAnsi="Calibri" w:cs="Calibri"/>
          <w:sz w:val="22"/>
          <w:szCs w:val="22"/>
          <w:lang w:val="en-US"/>
        </w:rPr>
        <w:t xml:space="preserve">Ensure that the objectives of the provider of any sponsorship are consistent with the </w:t>
      </w:r>
      <w:r>
        <w:rPr>
          <w:rFonts w:ascii="Calibri" w:hAnsi="Calibri" w:cs="Calibri"/>
          <w:sz w:val="22"/>
          <w:szCs w:val="22"/>
          <w:lang w:val="en-US"/>
        </w:rPr>
        <w:t>Objects</w:t>
      </w:r>
      <w:r w:rsidRPr="00E171B3">
        <w:rPr>
          <w:rFonts w:ascii="Calibri" w:hAnsi="Calibri" w:cs="Calibri"/>
          <w:sz w:val="22"/>
          <w:szCs w:val="22"/>
          <w:lang w:val="en-US"/>
        </w:rPr>
        <w:t xml:space="preserve"> of the IAP; </w:t>
      </w:r>
    </w:p>
    <w:p w14:paraId="1A869DF5" w14:textId="77777777" w:rsidR="00CB7675" w:rsidRDefault="00CB7675" w:rsidP="00CB7675">
      <w:pPr>
        <w:pStyle w:val="ListParagraph"/>
        <w:numPr>
          <w:ilvl w:val="0"/>
          <w:numId w:val="1"/>
        </w:numPr>
        <w:pBdr>
          <w:top w:val="nil"/>
          <w:left w:val="nil"/>
          <w:bottom w:val="nil"/>
          <w:right w:val="nil"/>
          <w:between w:val="nil"/>
          <w:bar w:val="nil"/>
        </w:pBdr>
        <w:spacing w:line="276" w:lineRule="auto"/>
        <w:jc w:val="both"/>
        <w:rPr>
          <w:rFonts w:ascii="Calibri" w:hAnsi="Calibri" w:cs="Calibri"/>
          <w:sz w:val="22"/>
          <w:szCs w:val="22"/>
          <w:lang w:val="en-US"/>
        </w:rPr>
      </w:pPr>
      <w:r w:rsidRPr="00E171B3">
        <w:rPr>
          <w:rFonts w:ascii="Calibri" w:hAnsi="Calibri" w:cs="Calibri"/>
          <w:sz w:val="22"/>
          <w:szCs w:val="22"/>
          <w:lang w:val="en-US"/>
        </w:rPr>
        <w:t>Ensure that there is no conflict of interest in the provision or acceptance of the sponsorship; and</w:t>
      </w:r>
    </w:p>
    <w:p w14:paraId="3966834A" w14:textId="77777777" w:rsidR="00CB7675" w:rsidRPr="00E171B3" w:rsidRDefault="00CB7675" w:rsidP="00CB7675">
      <w:pPr>
        <w:pStyle w:val="ListParagraph"/>
        <w:numPr>
          <w:ilvl w:val="0"/>
          <w:numId w:val="1"/>
        </w:numPr>
        <w:pBdr>
          <w:top w:val="nil"/>
          <w:left w:val="nil"/>
          <w:bottom w:val="nil"/>
          <w:right w:val="nil"/>
          <w:between w:val="nil"/>
          <w:bar w:val="nil"/>
        </w:pBdr>
        <w:spacing w:line="276" w:lineRule="auto"/>
        <w:jc w:val="both"/>
        <w:rPr>
          <w:rFonts w:ascii="Calibri" w:hAnsi="Calibri" w:cs="Calibri"/>
          <w:sz w:val="22"/>
          <w:szCs w:val="22"/>
          <w:lang w:val="en-US"/>
        </w:rPr>
      </w:pPr>
      <w:r w:rsidRPr="00E171B3">
        <w:rPr>
          <w:rFonts w:ascii="Calibri" w:hAnsi="Calibri" w:cs="Calibri"/>
          <w:sz w:val="22"/>
          <w:szCs w:val="22"/>
          <w:lang w:val="en-US"/>
        </w:rPr>
        <w:t>Prevent any perceived or actual improper influence being exerted by the sponsor upon the IAP or its members or any delegates, or on the IAP work programme.</w:t>
      </w:r>
    </w:p>
    <w:p w14:paraId="2CC78C12" w14:textId="77777777" w:rsidR="00CB7675"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p>
    <w:p w14:paraId="7E554E60" w14:textId="77777777" w:rsidR="00CB7675" w:rsidRPr="00E171B3"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p>
    <w:p w14:paraId="29ACAFCA"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b/>
          <w:bCs/>
          <w:sz w:val="22"/>
          <w:szCs w:val="22"/>
          <w:lang w:val="en-US"/>
        </w:rPr>
      </w:pPr>
      <w:r w:rsidRPr="00E31307">
        <w:rPr>
          <w:rFonts w:ascii="Calibri" w:hAnsi="Calibri" w:cs="Calibri"/>
          <w:b/>
          <w:bCs/>
          <w:sz w:val="22"/>
          <w:szCs w:val="22"/>
          <w:lang w:val="en-US"/>
        </w:rPr>
        <w:t>3.  Sponsorship Sub-Committee</w:t>
      </w:r>
    </w:p>
    <w:p w14:paraId="60E0960C"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p>
    <w:p w14:paraId="22E93702" w14:textId="77777777" w:rsidR="00CB7675" w:rsidRPr="00E171B3"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r>
        <w:rPr>
          <w:rFonts w:ascii="Calibri" w:hAnsi="Calibri" w:cs="Calibri"/>
          <w:sz w:val="22"/>
          <w:szCs w:val="22"/>
          <w:lang w:val="en-US"/>
        </w:rPr>
        <w:t xml:space="preserve">3.1.  </w:t>
      </w:r>
      <w:r w:rsidRPr="00E171B3">
        <w:rPr>
          <w:rFonts w:ascii="Calibri" w:hAnsi="Calibri" w:cs="Calibri"/>
          <w:sz w:val="22"/>
          <w:szCs w:val="22"/>
          <w:lang w:val="en-US"/>
        </w:rPr>
        <w:t xml:space="preserve">When sponsorship opportunities, bids and offers are received by the IAP, the Secretary-General shall convene a Sponsorship Sub-Committee to consider them.  The Sponsorship Sub-Committee shall comprise of one IAP Vice-President and two members of the Executive Committee. </w:t>
      </w:r>
    </w:p>
    <w:p w14:paraId="67F009BC"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p>
    <w:p w14:paraId="550AFC7F" w14:textId="77777777" w:rsidR="00737172" w:rsidRDefault="00CB7675" w:rsidP="00737172">
      <w:pPr>
        <w:pBdr>
          <w:top w:val="nil"/>
          <w:left w:val="nil"/>
          <w:bottom w:val="nil"/>
          <w:right w:val="nil"/>
          <w:between w:val="nil"/>
          <w:bar w:val="nil"/>
        </w:pBdr>
        <w:spacing w:line="276" w:lineRule="auto"/>
        <w:jc w:val="both"/>
        <w:rPr>
          <w:rFonts w:ascii="Calibri" w:hAnsi="Calibri" w:cs="Calibri"/>
          <w:sz w:val="22"/>
          <w:szCs w:val="22"/>
          <w:lang w:val="en-US"/>
        </w:rPr>
      </w:pPr>
      <w:r w:rsidRPr="00E31307">
        <w:rPr>
          <w:rFonts w:ascii="Calibri" w:hAnsi="Calibri" w:cs="Calibri"/>
          <w:sz w:val="22"/>
          <w:szCs w:val="22"/>
          <w:lang w:val="en-US"/>
        </w:rPr>
        <w:t xml:space="preserve">3.2.  The Sponsorship Sub-Committee will decide whether to recommend that sponsorship should be sought and/or accepted.  The Sponsorship Sub-Committee will provide its recommendations to the Executive Committee. </w:t>
      </w:r>
    </w:p>
    <w:p w14:paraId="55CE8B07" w14:textId="1C005D60" w:rsidR="00CB7675" w:rsidRPr="00E31307" w:rsidRDefault="00CB7675" w:rsidP="00737172">
      <w:pPr>
        <w:pBdr>
          <w:top w:val="nil"/>
          <w:left w:val="nil"/>
          <w:bottom w:val="nil"/>
          <w:right w:val="nil"/>
          <w:between w:val="nil"/>
          <w:bar w:val="nil"/>
        </w:pBdr>
        <w:spacing w:line="276" w:lineRule="auto"/>
        <w:jc w:val="both"/>
        <w:rPr>
          <w:rFonts w:ascii="Calibri" w:hAnsi="Calibri" w:cs="Calibri"/>
          <w:sz w:val="22"/>
          <w:szCs w:val="22"/>
          <w:lang w:val="en-US"/>
        </w:rPr>
      </w:pPr>
      <w:r w:rsidRPr="00E31307">
        <w:rPr>
          <w:rFonts w:ascii="Calibri" w:hAnsi="Calibri" w:cs="Calibri"/>
          <w:sz w:val="22"/>
          <w:szCs w:val="22"/>
          <w:lang w:val="en-US"/>
        </w:rPr>
        <w:lastRenderedPageBreak/>
        <w:t xml:space="preserve">3.3.  The Executive Committee is not bound to accept the recommendations of the Sponsorship Sub-Committee.  Any objections to the recommendations of the Sponsorship Sub-Committee should be raised within fourteen days of the recommendations being made to the Executive Committee.  If objections are raised, they must be resolved before the Secretary-General can act on them.  If no objections are raised within the fourteen day period, then the Secretary-General can act on the recommendations of the Sponsorship Committee.  This time frame can be shortened if an urgent decision is required.  </w:t>
      </w:r>
    </w:p>
    <w:p w14:paraId="6FB8659B"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p>
    <w:p w14:paraId="101ED1E4" w14:textId="77777777" w:rsidR="00CB7675" w:rsidRPr="00AE60DE"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r>
        <w:rPr>
          <w:rFonts w:ascii="Calibri" w:hAnsi="Calibri" w:cs="Calibri"/>
          <w:sz w:val="22"/>
          <w:szCs w:val="22"/>
          <w:lang w:val="en-US"/>
        </w:rPr>
        <w:t xml:space="preserve">3.4.  </w:t>
      </w:r>
      <w:r w:rsidRPr="00AE60DE">
        <w:rPr>
          <w:rFonts w:ascii="Calibri" w:hAnsi="Calibri" w:cs="Calibri"/>
          <w:sz w:val="22"/>
          <w:szCs w:val="22"/>
          <w:lang w:val="en-US"/>
        </w:rPr>
        <w:t>The Sponsorship Sub-Committee will use the following criteria when deciding whether sponsorship should be sought and accepted:</w:t>
      </w:r>
    </w:p>
    <w:p w14:paraId="0966BE92" w14:textId="25683677" w:rsidR="00CB7675" w:rsidRDefault="00CB7675" w:rsidP="00CB7675">
      <w:pPr>
        <w:pStyle w:val="ListParagraph"/>
        <w:numPr>
          <w:ilvl w:val="0"/>
          <w:numId w:val="2"/>
        </w:numPr>
        <w:spacing w:line="276" w:lineRule="auto"/>
        <w:jc w:val="both"/>
        <w:rPr>
          <w:rFonts w:ascii="Calibri" w:hAnsi="Calibri" w:cs="Calibri"/>
          <w:sz w:val="22"/>
          <w:szCs w:val="22"/>
          <w:lang w:val="en-US"/>
        </w:rPr>
      </w:pPr>
      <w:r w:rsidRPr="00AE60DE">
        <w:rPr>
          <w:rFonts w:ascii="Calibri" w:hAnsi="Calibri" w:cs="Calibri"/>
          <w:sz w:val="22"/>
          <w:szCs w:val="22"/>
          <w:lang w:val="en-US"/>
        </w:rPr>
        <w:t xml:space="preserve">In seeking or accepting sponsorship for projects and other work in support of its Objects, the IAP will </w:t>
      </w:r>
      <w:r w:rsidR="00880184">
        <w:rPr>
          <w:rFonts w:ascii="Calibri" w:hAnsi="Calibri" w:cs="Calibri"/>
          <w:sz w:val="22"/>
          <w:szCs w:val="22"/>
          <w:lang w:val="en-US"/>
        </w:rPr>
        <w:t>prioritise</w:t>
      </w:r>
      <w:r w:rsidRPr="00AE60DE">
        <w:rPr>
          <w:rFonts w:ascii="Calibri" w:hAnsi="Calibri" w:cs="Calibri"/>
          <w:sz w:val="22"/>
          <w:szCs w:val="22"/>
          <w:lang w:val="en-US"/>
        </w:rPr>
        <w:t xml:space="preserve"> such engagement </w:t>
      </w:r>
      <w:r w:rsidR="00DE432A">
        <w:rPr>
          <w:rFonts w:ascii="Calibri" w:hAnsi="Calibri" w:cs="Calibri"/>
          <w:sz w:val="22"/>
          <w:szCs w:val="22"/>
          <w:lang w:val="en-US"/>
        </w:rPr>
        <w:t>with</w:t>
      </w:r>
      <w:r w:rsidRPr="00AE60DE">
        <w:rPr>
          <w:rFonts w:ascii="Calibri" w:hAnsi="Calibri" w:cs="Calibri"/>
          <w:sz w:val="22"/>
          <w:szCs w:val="22"/>
          <w:lang w:val="en-US"/>
        </w:rPr>
        <w:t xml:space="preserve"> organisations whose work is wholly or partly related to the field of criminal justice</w:t>
      </w:r>
      <w:r w:rsidR="00DE432A">
        <w:rPr>
          <w:rFonts w:ascii="Calibri" w:hAnsi="Calibri" w:cs="Calibri"/>
          <w:sz w:val="22"/>
          <w:szCs w:val="22"/>
          <w:lang w:val="en-US"/>
        </w:rPr>
        <w:t xml:space="preserve">, or </w:t>
      </w:r>
      <w:r w:rsidR="0009080F">
        <w:rPr>
          <w:rFonts w:ascii="Calibri" w:hAnsi="Calibri" w:cs="Calibri"/>
          <w:sz w:val="22"/>
          <w:szCs w:val="22"/>
          <w:lang w:val="en-US"/>
        </w:rPr>
        <w:t>to organisations who have demonstrated a commitment to providing a service in the field of criminal justice</w:t>
      </w:r>
      <w:r w:rsidRPr="00AE60DE">
        <w:rPr>
          <w:rFonts w:ascii="Calibri" w:hAnsi="Calibri" w:cs="Calibri"/>
          <w:sz w:val="22"/>
          <w:szCs w:val="22"/>
          <w:lang w:val="en-US"/>
        </w:rPr>
        <w:t>.</w:t>
      </w:r>
    </w:p>
    <w:p w14:paraId="45A996FE" w14:textId="77777777" w:rsidR="00CB7675" w:rsidRDefault="00CB7675" w:rsidP="00CB7675">
      <w:pPr>
        <w:pStyle w:val="ListParagraph"/>
        <w:numPr>
          <w:ilvl w:val="0"/>
          <w:numId w:val="2"/>
        </w:numPr>
        <w:spacing w:line="276" w:lineRule="auto"/>
        <w:jc w:val="both"/>
        <w:rPr>
          <w:rFonts w:ascii="Calibri" w:hAnsi="Calibri" w:cs="Calibri"/>
          <w:sz w:val="22"/>
          <w:szCs w:val="22"/>
          <w:lang w:val="en-US"/>
        </w:rPr>
      </w:pPr>
      <w:r>
        <w:rPr>
          <w:rFonts w:ascii="Calibri" w:hAnsi="Calibri" w:cs="Calibri"/>
          <w:sz w:val="22"/>
          <w:szCs w:val="22"/>
          <w:lang w:val="en-US"/>
        </w:rPr>
        <w:t>I</w:t>
      </w:r>
      <w:r w:rsidRPr="00AE60DE">
        <w:rPr>
          <w:rFonts w:ascii="Calibri" w:hAnsi="Calibri" w:cs="Calibri"/>
          <w:sz w:val="22"/>
          <w:szCs w:val="22"/>
          <w:lang w:val="en-US"/>
        </w:rPr>
        <w:t>n seeking or accepting sponsorship linked to the funding of its conferences, the IAP may  engage with any of the above but also with organisations  who operate in the local or wider community and whose involvement, in the opinion of the Sponsorship Sub-Committee, will not cause embarrassment to the membership. In considering any such organisation, members of the Sponsorship Sub-Committee may consult such members of the IAP or others as deemed appropriate.</w:t>
      </w:r>
    </w:p>
    <w:p w14:paraId="16DA9706" w14:textId="5A7B3F5B" w:rsidR="0009080F" w:rsidRPr="00AE60DE" w:rsidRDefault="00DD0646" w:rsidP="00CB7675">
      <w:pPr>
        <w:pStyle w:val="ListParagraph"/>
        <w:numPr>
          <w:ilvl w:val="0"/>
          <w:numId w:val="2"/>
        </w:numPr>
        <w:spacing w:line="276" w:lineRule="auto"/>
        <w:jc w:val="both"/>
        <w:rPr>
          <w:rFonts w:ascii="Calibri" w:hAnsi="Calibri" w:cs="Calibri"/>
          <w:sz w:val="22"/>
          <w:szCs w:val="22"/>
          <w:lang w:val="en-US"/>
        </w:rPr>
      </w:pPr>
      <w:r>
        <w:rPr>
          <w:rFonts w:ascii="Calibri" w:hAnsi="Calibri" w:cs="Calibri"/>
          <w:sz w:val="22"/>
          <w:szCs w:val="22"/>
          <w:lang w:val="en-US"/>
        </w:rPr>
        <w:t>If the IAP wants to seek or accept sponsorship from an organisation that does not fall within (i) or (ii) above, then the Sponsorship Sub-Committee shall consult</w:t>
      </w:r>
      <w:r w:rsidR="00214F74">
        <w:rPr>
          <w:rFonts w:ascii="Calibri" w:hAnsi="Calibri" w:cs="Calibri"/>
          <w:sz w:val="22"/>
          <w:szCs w:val="22"/>
          <w:lang w:val="en-US"/>
        </w:rPr>
        <w:t xml:space="preserve"> </w:t>
      </w:r>
      <w:r w:rsidR="004E5589">
        <w:rPr>
          <w:rFonts w:ascii="Calibri" w:hAnsi="Calibri" w:cs="Calibri"/>
          <w:sz w:val="22"/>
          <w:szCs w:val="22"/>
          <w:lang w:val="en-US"/>
        </w:rPr>
        <w:t>with the Executive Committee before making any recommendation.</w:t>
      </w:r>
    </w:p>
    <w:p w14:paraId="161271B5" w14:textId="77777777" w:rsidR="00CB7675" w:rsidRPr="00E31307" w:rsidRDefault="00CB7675" w:rsidP="00CB7675">
      <w:pPr>
        <w:pBdr>
          <w:top w:val="nil"/>
          <w:left w:val="nil"/>
          <w:bottom w:val="nil"/>
          <w:right w:val="nil"/>
          <w:between w:val="nil"/>
          <w:bar w:val="nil"/>
        </w:pBdr>
        <w:spacing w:line="276" w:lineRule="auto"/>
        <w:ind w:left="426"/>
        <w:jc w:val="both"/>
        <w:rPr>
          <w:rFonts w:ascii="Calibri" w:hAnsi="Calibri" w:cs="Calibri"/>
          <w:sz w:val="22"/>
          <w:szCs w:val="22"/>
          <w:lang w:val="en-US"/>
        </w:rPr>
      </w:pPr>
    </w:p>
    <w:p w14:paraId="5CA0E1A7"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r w:rsidRPr="00E31307">
        <w:rPr>
          <w:rFonts w:ascii="Calibri" w:hAnsi="Calibri" w:cs="Calibri"/>
          <w:sz w:val="22"/>
          <w:szCs w:val="22"/>
          <w:lang w:val="en-US"/>
        </w:rPr>
        <w:t>3.</w:t>
      </w:r>
      <w:r>
        <w:rPr>
          <w:rFonts w:ascii="Calibri" w:hAnsi="Calibri" w:cs="Calibri"/>
          <w:sz w:val="22"/>
          <w:szCs w:val="22"/>
          <w:lang w:val="en-US"/>
        </w:rPr>
        <w:t>5</w:t>
      </w:r>
      <w:r w:rsidRPr="00E31307">
        <w:rPr>
          <w:rFonts w:ascii="Calibri" w:hAnsi="Calibri" w:cs="Calibri"/>
          <w:sz w:val="22"/>
          <w:szCs w:val="22"/>
          <w:lang w:val="en-US"/>
        </w:rPr>
        <w:t>.  The Sponsorship Sub-Committee shall provide a short report at each Executive Committee meeting.</w:t>
      </w:r>
    </w:p>
    <w:p w14:paraId="22FDA6A6" w14:textId="77777777" w:rsidR="00CB7675" w:rsidRPr="00E31307" w:rsidRDefault="00CB7675" w:rsidP="00CB7675">
      <w:pPr>
        <w:pBdr>
          <w:top w:val="nil"/>
          <w:left w:val="nil"/>
          <w:bottom w:val="nil"/>
          <w:right w:val="nil"/>
          <w:between w:val="nil"/>
          <w:bar w:val="nil"/>
        </w:pBdr>
        <w:spacing w:line="276" w:lineRule="auto"/>
        <w:ind w:left="426"/>
        <w:jc w:val="both"/>
        <w:rPr>
          <w:rFonts w:ascii="Calibri" w:hAnsi="Calibri" w:cs="Calibri"/>
          <w:b/>
          <w:bCs/>
          <w:sz w:val="22"/>
          <w:szCs w:val="22"/>
          <w:lang w:val="en-US"/>
        </w:rPr>
      </w:pPr>
    </w:p>
    <w:p w14:paraId="77EF061E" w14:textId="77777777" w:rsidR="00CB7675" w:rsidRDefault="00CB7675" w:rsidP="00CB7675">
      <w:pPr>
        <w:pBdr>
          <w:top w:val="nil"/>
          <w:left w:val="nil"/>
          <w:bottom w:val="nil"/>
          <w:right w:val="nil"/>
          <w:between w:val="nil"/>
          <w:bar w:val="nil"/>
        </w:pBdr>
        <w:spacing w:line="276" w:lineRule="auto"/>
        <w:jc w:val="both"/>
        <w:rPr>
          <w:rFonts w:ascii="Calibri" w:hAnsi="Calibri" w:cs="Calibri"/>
          <w:b/>
          <w:bCs/>
          <w:sz w:val="22"/>
          <w:szCs w:val="22"/>
          <w:lang w:val="en-US"/>
        </w:rPr>
      </w:pPr>
    </w:p>
    <w:p w14:paraId="27CAA89B"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b/>
          <w:bCs/>
          <w:sz w:val="22"/>
          <w:szCs w:val="22"/>
          <w:lang w:val="en-US"/>
        </w:rPr>
      </w:pPr>
      <w:r w:rsidRPr="00E31307">
        <w:rPr>
          <w:rFonts w:ascii="Calibri" w:hAnsi="Calibri" w:cs="Calibri"/>
          <w:b/>
          <w:bCs/>
          <w:sz w:val="22"/>
          <w:szCs w:val="22"/>
          <w:lang w:val="en-US"/>
        </w:rPr>
        <w:t xml:space="preserve">4.  Terms </w:t>
      </w:r>
    </w:p>
    <w:p w14:paraId="24B317F4" w14:textId="77777777" w:rsidR="00CB7675" w:rsidRDefault="00CB7675" w:rsidP="00CB7675">
      <w:pPr>
        <w:pBdr>
          <w:top w:val="nil"/>
          <w:left w:val="nil"/>
          <w:bottom w:val="nil"/>
          <w:right w:val="nil"/>
          <w:between w:val="nil"/>
          <w:bar w:val="nil"/>
        </w:pBdr>
        <w:spacing w:line="276" w:lineRule="auto"/>
        <w:jc w:val="both"/>
        <w:rPr>
          <w:rFonts w:ascii="Calibri" w:hAnsi="Calibri" w:cs="Calibri"/>
          <w:b/>
          <w:bCs/>
          <w:sz w:val="22"/>
          <w:szCs w:val="22"/>
          <w:lang w:val="en-US"/>
        </w:rPr>
      </w:pPr>
    </w:p>
    <w:p w14:paraId="05AAB6B9" w14:textId="77777777" w:rsidR="00CB7675" w:rsidRPr="00E31307"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r w:rsidRPr="00E31307">
        <w:rPr>
          <w:rFonts w:ascii="Calibri" w:hAnsi="Calibri" w:cs="Calibri"/>
          <w:sz w:val="22"/>
          <w:szCs w:val="22"/>
          <w:lang w:val="en-US"/>
        </w:rPr>
        <w:t>4.1.  If a formal sponsorship opportunity is approved, the Sponsorship Sub-Committee shall assist the Secretariat in determining and finalising the terms of such arrangement.</w:t>
      </w:r>
    </w:p>
    <w:p w14:paraId="01308AD6" w14:textId="77777777" w:rsidR="00CB7675"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p>
    <w:p w14:paraId="3E4AECFD" w14:textId="7333D683" w:rsidR="00CB7675" w:rsidRPr="00E31307" w:rsidRDefault="00CB7675" w:rsidP="00CB7675">
      <w:pPr>
        <w:pBdr>
          <w:top w:val="nil"/>
          <w:left w:val="nil"/>
          <w:bottom w:val="nil"/>
          <w:right w:val="nil"/>
          <w:between w:val="nil"/>
          <w:bar w:val="nil"/>
        </w:pBdr>
        <w:spacing w:line="276" w:lineRule="auto"/>
        <w:jc w:val="both"/>
        <w:rPr>
          <w:rFonts w:ascii="Calibri" w:hAnsi="Calibri" w:cs="Calibri"/>
          <w:sz w:val="22"/>
          <w:szCs w:val="22"/>
          <w:lang w:val="en-US"/>
        </w:rPr>
      </w:pPr>
      <w:r w:rsidRPr="00E31307">
        <w:rPr>
          <w:rFonts w:ascii="Calibri" w:hAnsi="Calibri" w:cs="Calibri"/>
          <w:sz w:val="22"/>
          <w:szCs w:val="22"/>
          <w:lang w:val="en-US"/>
        </w:rPr>
        <w:t xml:space="preserve">4.2.  Standard terms </w:t>
      </w:r>
      <w:r w:rsidR="006905C9">
        <w:rPr>
          <w:rFonts w:ascii="Calibri" w:hAnsi="Calibri" w:cs="Calibri"/>
          <w:sz w:val="22"/>
          <w:szCs w:val="22"/>
          <w:lang w:val="en-US"/>
        </w:rPr>
        <w:t>may</w:t>
      </w:r>
      <w:r w:rsidRPr="00E31307">
        <w:rPr>
          <w:rFonts w:ascii="Calibri" w:hAnsi="Calibri" w:cs="Calibri"/>
          <w:sz w:val="22"/>
          <w:szCs w:val="22"/>
          <w:lang w:val="en-US"/>
        </w:rPr>
        <w:t xml:space="preserve"> include:</w:t>
      </w:r>
    </w:p>
    <w:p w14:paraId="5B72770F" w14:textId="77777777" w:rsidR="00CB7675" w:rsidRDefault="00CB7675" w:rsidP="00CB7675">
      <w:pPr>
        <w:pStyle w:val="ListParagraph"/>
        <w:numPr>
          <w:ilvl w:val="0"/>
          <w:numId w:val="3"/>
        </w:numPr>
        <w:pBdr>
          <w:top w:val="nil"/>
          <w:left w:val="nil"/>
          <w:bottom w:val="nil"/>
          <w:right w:val="nil"/>
          <w:between w:val="nil"/>
          <w:bar w:val="nil"/>
        </w:pBdr>
        <w:spacing w:line="276" w:lineRule="auto"/>
        <w:jc w:val="both"/>
        <w:rPr>
          <w:rFonts w:ascii="Calibri" w:hAnsi="Calibri" w:cs="Calibri"/>
          <w:sz w:val="22"/>
          <w:szCs w:val="22"/>
          <w:lang w:val="en-US"/>
        </w:rPr>
      </w:pPr>
      <w:r w:rsidRPr="009468D7">
        <w:rPr>
          <w:rFonts w:ascii="Calibri" w:hAnsi="Calibri" w:cs="Calibri"/>
          <w:sz w:val="22"/>
          <w:szCs w:val="22"/>
          <w:lang w:val="en-US"/>
        </w:rPr>
        <w:t>A clear description of the benefit(s) that the sponsor can expect to derive from the sponsorship</w:t>
      </w:r>
      <w:r>
        <w:rPr>
          <w:rFonts w:ascii="Calibri" w:hAnsi="Calibri" w:cs="Calibri"/>
          <w:sz w:val="22"/>
          <w:szCs w:val="22"/>
          <w:lang w:val="en-US"/>
        </w:rPr>
        <w:t>;</w:t>
      </w:r>
    </w:p>
    <w:p w14:paraId="514E54E3" w14:textId="77777777" w:rsidR="00CB7675" w:rsidRDefault="00CB7675" w:rsidP="00CB7675">
      <w:pPr>
        <w:pStyle w:val="ListParagraph"/>
        <w:numPr>
          <w:ilvl w:val="0"/>
          <w:numId w:val="3"/>
        </w:numPr>
        <w:pBdr>
          <w:top w:val="nil"/>
          <w:left w:val="nil"/>
          <w:bottom w:val="nil"/>
          <w:right w:val="nil"/>
          <w:between w:val="nil"/>
          <w:bar w:val="nil"/>
        </w:pBdr>
        <w:spacing w:line="276" w:lineRule="auto"/>
        <w:jc w:val="both"/>
        <w:rPr>
          <w:rFonts w:ascii="Calibri" w:hAnsi="Calibri" w:cs="Calibri"/>
          <w:sz w:val="22"/>
          <w:szCs w:val="22"/>
          <w:lang w:val="en-US"/>
        </w:rPr>
      </w:pPr>
      <w:r w:rsidRPr="009468D7">
        <w:rPr>
          <w:rFonts w:ascii="Calibri" w:hAnsi="Calibri" w:cs="Calibri"/>
          <w:sz w:val="22"/>
          <w:szCs w:val="22"/>
          <w:lang w:val="en-US"/>
        </w:rPr>
        <w:t>That the sponsor should not contact any member of the IAP, directly or indirectly, without the permission of the IAP Secretariat. Should the sponsor wish to contact a member, it should be done via the Secretary-General or General Counsel, who will contact the member. Should the member decline to have contact with the sponsor, that refusal will prevail and the Secretary-General or General Counsel will inform the sponsor</w:t>
      </w:r>
      <w:r>
        <w:rPr>
          <w:rFonts w:ascii="Calibri" w:hAnsi="Calibri" w:cs="Calibri"/>
          <w:sz w:val="22"/>
          <w:szCs w:val="22"/>
          <w:lang w:val="en-US"/>
        </w:rPr>
        <w:t>;</w:t>
      </w:r>
    </w:p>
    <w:p w14:paraId="451B6B85" w14:textId="77777777" w:rsidR="00CB7675" w:rsidRPr="009468D7" w:rsidRDefault="00CB7675" w:rsidP="00CB7675">
      <w:pPr>
        <w:pStyle w:val="ListParagraph"/>
        <w:numPr>
          <w:ilvl w:val="0"/>
          <w:numId w:val="3"/>
        </w:numPr>
        <w:pBdr>
          <w:top w:val="nil"/>
          <w:left w:val="nil"/>
          <w:bottom w:val="nil"/>
          <w:right w:val="nil"/>
          <w:between w:val="nil"/>
          <w:bar w:val="nil"/>
        </w:pBdr>
        <w:spacing w:line="276" w:lineRule="auto"/>
        <w:jc w:val="both"/>
        <w:rPr>
          <w:rFonts w:ascii="Calibri" w:hAnsi="Calibri" w:cs="Calibri"/>
          <w:sz w:val="22"/>
          <w:szCs w:val="22"/>
          <w:lang w:val="en-US"/>
        </w:rPr>
      </w:pPr>
      <w:r w:rsidRPr="009468D7">
        <w:rPr>
          <w:rFonts w:ascii="Calibri" w:hAnsi="Calibri" w:cs="Calibri"/>
          <w:sz w:val="22"/>
          <w:szCs w:val="22"/>
          <w:lang w:val="en-US"/>
        </w:rPr>
        <w:t xml:space="preserve">That the sponsor may advertise its products and/or services at the conference venue and/or at the venues of social activities as agreed, in an unobtrusive and tasteful way without compromising the independence of the IAP. No advertising will be permitted in </w:t>
      </w:r>
      <w:r w:rsidRPr="009468D7">
        <w:rPr>
          <w:rFonts w:ascii="Calibri" w:hAnsi="Calibri" w:cs="Calibri"/>
          <w:sz w:val="22"/>
          <w:szCs w:val="22"/>
          <w:lang w:val="en-US"/>
        </w:rPr>
        <w:lastRenderedPageBreak/>
        <w:t>the main conference hall and the workshop rooms.  All advertising must be approved by the IAP Secretariat in advance</w:t>
      </w:r>
      <w:r>
        <w:rPr>
          <w:rFonts w:ascii="Calibri" w:hAnsi="Calibri" w:cs="Calibri"/>
          <w:sz w:val="22"/>
          <w:szCs w:val="22"/>
          <w:lang w:val="en-US"/>
        </w:rPr>
        <w:t>;</w:t>
      </w:r>
    </w:p>
    <w:p w14:paraId="47F8AC1A" w14:textId="3DED9C49" w:rsidR="00CB7675" w:rsidRDefault="00CB7675" w:rsidP="00CB7675">
      <w:pPr>
        <w:pStyle w:val="ListParagraph"/>
        <w:numPr>
          <w:ilvl w:val="0"/>
          <w:numId w:val="3"/>
        </w:numPr>
        <w:pBdr>
          <w:top w:val="nil"/>
          <w:left w:val="nil"/>
          <w:bottom w:val="nil"/>
          <w:right w:val="nil"/>
          <w:between w:val="nil"/>
          <w:bar w:val="nil"/>
        </w:pBdr>
        <w:spacing w:line="276" w:lineRule="auto"/>
        <w:jc w:val="both"/>
        <w:rPr>
          <w:rFonts w:ascii="Calibri" w:hAnsi="Calibri" w:cs="Calibri"/>
          <w:sz w:val="22"/>
          <w:szCs w:val="22"/>
          <w:lang w:val="en-US"/>
        </w:rPr>
      </w:pPr>
      <w:r w:rsidRPr="009468D7">
        <w:rPr>
          <w:rFonts w:ascii="Calibri" w:hAnsi="Calibri" w:cs="Calibri"/>
          <w:sz w:val="22"/>
          <w:szCs w:val="22"/>
          <w:lang w:val="en-US"/>
        </w:rPr>
        <w:t>That the sponsor will be entitled to send representatives to the conference venue and/or the venues of social events, as agreed</w:t>
      </w:r>
      <w:r w:rsidR="002359BC">
        <w:rPr>
          <w:rFonts w:ascii="Calibri" w:hAnsi="Calibri" w:cs="Calibri"/>
          <w:sz w:val="22"/>
          <w:szCs w:val="22"/>
          <w:lang w:val="en-US"/>
        </w:rPr>
        <w:t>, for such reasons as are agreed with the IAP</w:t>
      </w:r>
      <w:r w:rsidRPr="009468D7">
        <w:rPr>
          <w:rFonts w:ascii="Calibri" w:hAnsi="Calibri" w:cs="Calibri"/>
          <w:sz w:val="22"/>
          <w:szCs w:val="22"/>
          <w:lang w:val="en-US"/>
        </w:rPr>
        <w:t>. They will not be invited to address plenary sessions or other working sessions of the conference, unless their presentation is relevant to the theme of the conference and they have expertise in the area or show that they can otherwise substantially contribute to the discussion of the topic</w:t>
      </w:r>
      <w:r>
        <w:rPr>
          <w:rFonts w:ascii="Calibri" w:hAnsi="Calibri" w:cs="Calibri"/>
          <w:sz w:val="22"/>
          <w:szCs w:val="22"/>
          <w:lang w:val="en-US"/>
        </w:rPr>
        <w:t>;</w:t>
      </w:r>
    </w:p>
    <w:p w14:paraId="29EF32AB" w14:textId="77777777" w:rsidR="00CB7675" w:rsidRPr="009468D7" w:rsidRDefault="00CB7675" w:rsidP="00CB7675">
      <w:pPr>
        <w:pStyle w:val="ListParagraph"/>
        <w:numPr>
          <w:ilvl w:val="0"/>
          <w:numId w:val="3"/>
        </w:numPr>
        <w:pBdr>
          <w:top w:val="nil"/>
          <w:left w:val="nil"/>
          <w:bottom w:val="nil"/>
          <w:right w:val="nil"/>
          <w:between w:val="nil"/>
          <w:bar w:val="nil"/>
        </w:pBdr>
        <w:spacing w:line="276" w:lineRule="auto"/>
        <w:jc w:val="both"/>
        <w:rPr>
          <w:rFonts w:ascii="Calibri" w:hAnsi="Calibri" w:cs="Calibri"/>
          <w:sz w:val="22"/>
          <w:szCs w:val="22"/>
          <w:lang w:val="en-US"/>
        </w:rPr>
      </w:pPr>
      <w:r w:rsidRPr="009468D7">
        <w:rPr>
          <w:rFonts w:ascii="Calibri" w:hAnsi="Calibri" w:cs="Calibri"/>
          <w:sz w:val="22"/>
          <w:szCs w:val="22"/>
          <w:lang w:val="en-US"/>
        </w:rPr>
        <w:t>That gifts from the sponsor, other than food and drink at social events, should be confined to “give away” items of minor value normally used for the promotion of the sponsor’s goods or services.</w:t>
      </w:r>
    </w:p>
    <w:p w14:paraId="5877A010" w14:textId="77777777" w:rsidR="00CB7675" w:rsidRPr="00E31307" w:rsidRDefault="00CB7675" w:rsidP="00CB7675">
      <w:pPr>
        <w:pStyle w:val="ListParagraph"/>
        <w:spacing w:line="276" w:lineRule="auto"/>
        <w:contextualSpacing w:val="0"/>
        <w:jc w:val="both"/>
        <w:rPr>
          <w:rFonts w:ascii="Calibri" w:hAnsi="Calibri" w:cs="Calibri"/>
          <w:sz w:val="22"/>
          <w:szCs w:val="22"/>
          <w:lang w:val="en-US"/>
        </w:rPr>
      </w:pPr>
    </w:p>
    <w:p w14:paraId="00446CC5" w14:textId="77777777" w:rsidR="00CB7675" w:rsidRPr="00E31307" w:rsidRDefault="00CB7675" w:rsidP="00CB7675">
      <w:pPr>
        <w:spacing w:line="276" w:lineRule="auto"/>
        <w:jc w:val="both"/>
        <w:rPr>
          <w:rStyle w:val="Strong"/>
          <w:rFonts w:ascii="Calibri" w:eastAsiaTheme="majorEastAsia" w:hAnsi="Calibri" w:cs="Calibri"/>
          <w:color w:val="000000"/>
          <w:sz w:val="22"/>
          <w:szCs w:val="22"/>
        </w:rPr>
      </w:pPr>
    </w:p>
    <w:p w14:paraId="5C0D64B5" w14:textId="77777777" w:rsidR="00CB7675" w:rsidRPr="00E31307" w:rsidRDefault="00CB7675" w:rsidP="00CB7675">
      <w:pPr>
        <w:spacing w:line="276" w:lineRule="auto"/>
        <w:jc w:val="both"/>
        <w:rPr>
          <w:rFonts w:ascii="Calibri" w:hAnsi="Calibri" w:cs="Calibri"/>
          <w:b/>
          <w:bCs/>
          <w:sz w:val="22"/>
          <w:szCs w:val="22"/>
        </w:rPr>
      </w:pPr>
      <w:r w:rsidRPr="00E31307">
        <w:rPr>
          <w:rStyle w:val="Strong"/>
          <w:rFonts w:ascii="Calibri" w:eastAsiaTheme="majorEastAsia" w:hAnsi="Calibri" w:cs="Calibri"/>
          <w:color w:val="000000"/>
          <w:sz w:val="22"/>
          <w:szCs w:val="22"/>
        </w:rPr>
        <w:t xml:space="preserve">5.  </w:t>
      </w:r>
      <w:r w:rsidRPr="00E31307">
        <w:rPr>
          <w:rFonts w:ascii="Calibri" w:hAnsi="Calibri" w:cs="Calibri"/>
          <w:b/>
          <w:bCs/>
          <w:sz w:val="22"/>
          <w:szCs w:val="22"/>
        </w:rPr>
        <w:t xml:space="preserve">Record keeping </w:t>
      </w:r>
    </w:p>
    <w:p w14:paraId="08DD54DE" w14:textId="77777777" w:rsidR="00CB7675" w:rsidRPr="00E31307" w:rsidRDefault="00CB7675" w:rsidP="00CB7675">
      <w:pPr>
        <w:spacing w:line="276" w:lineRule="auto"/>
        <w:jc w:val="both"/>
        <w:rPr>
          <w:rFonts w:ascii="Calibri" w:hAnsi="Calibri" w:cs="Calibri"/>
          <w:b/>
          <w:bCs/>
          <w:sz w:val="22"/>
          <w:szCs w:val="22"/>
        </w:rPr>
      </w:pPr>
    </w:p>
    <w:p w14:paraId="2E0D73BC" w14:textId="77777777" w:rsidR="00CB7675" w:rsidRDefault="00CB7675" w:rsidP="00CB7675">
      <w:pPr>
        <w:spacing w:line="276" w:lineRule="auto"/>
        <w:jc w:val="both"/>
        <w:rPr>
          <w:rFonts w:ascii="Calibri" w:hAnsi="Calibri" w:cs="Calibri"/>
          <w:sz w:val="22"/>
          <w:szCs w:val="22"/>
        </w:rPr>
      </w:pPr>
      <w:r w:rsidRPr="00E31307">
        <w:rPr>
          <w:rFonts w:ascii="Calibri" w:hAnsi="Calibri" w:cs="Calibri"/>
          <w:sz w:val="22"/>
          <w:szCs w:val="22"/>
        </w:rPr>
        <w:t>5.1.  A record should be kept of each decision of the Sponsorship Sub-Committee, with brief reasons.   The record should be sent to the IAP Secretariat for storage in the IAP archives.</w:t>
      </w:r>
    </w:p>
    <w:p w14:paraId="0467E680" w14:textId="77777777" w:rsidR="00976AE7" w:rsidRDefault="00976AE7" w:rsidP="00CB7675">
      <w:pPr>
        <w:spacing w:line="276" w:lineRule="auto"/>
        <w:jc w:val="both"/>
        <w:rPr>
          <w:rFonts w:ascii="Calibri" w:hAnsi="Calibri" w:cs="Calibri"/>
          <w:sz w:val="22"/>
          <w:szCs w:val="22"/>
        </w:rPr>
      </w:pPr>
    </w:p>
    <w:p w14:paraId="77FB7F8E" w14:textId="77777777" w:rsidR="00976AE7" w:rsidRDefault="00976AE7" w:rsidP="00CB7675">
      <w:pPr>
        <w:spacing w:line="276" w:lineRule="auto"/>
        <w:jc w:val="both"/>
        <w:rPr>
          <w:rFonts w:ascii="Calibri" w:hAnsi="Calibri" w:cs="Calibri"/>
          <w:sz w:val="22"/>
          <w:szCs w:val="22"/>
        </w:rPr>
      </w:pPr>
    </w:p>
    <w:p w14:paraId="2E26675B" w14:textId="090271F7" w:rsidR="00976AE7" w:rsidRDefault="00976AE7" w:rsidP="00CB7675">
      <w:pPr>
        <w:spacing w:line="276" w:lineRule="auto"/>
        <w:jc w:val="both"/>
        <w:rPr>
          <w:rFonts w:ascii="Calibri" w:hAnsi="Calibri" w:cs="Calibri"/>
          <w:b/>
          <w:bCs/>
          <w:sz w:val="22"/>
          <w:szCs w:val="22"/>
        </w:rPr>
      </w:pPr>
      <w:r>
        <w:rPr>
          <w:rFonts w:ascii="Calibri" w:hAnsi="Calibri" w:cs="Calibri"/>
          <w:b/>
          <w:bCs/>
          <w:sz w:val="22"/>
          <w:szCs w:val="22"/>
        </w:rPr>
        <w:t>6.  Amendment</w:t>
      </w:r>
    </w:p>
    <w:p w14:paraId="0C415B75" w14:textId="77777777" w:rsidR="00976AE7" w:rsidRDefault="00976AE7" w:rsidP="00CB7675">
      <w:pPr>
        <w:spacing w:line="276" w:lineRule="auto"/>
        <w:jc w:val="both"/>
        <w:rPr>
          <w:rFonts w:ascii="Calibri" w:hAnsi="Calibri" w:cs="Calibri"/>
          <w:b/>
          <w:bCs/>
          <w:sz w:val="22"/>
          <w:szCs w:val="22"/>
        </w:rPr>
      </w:pPr>
    </w:p>
    <w:p w14:paraId="34FC818A" w14:textId="5AD348D3" w:rsidR="00976AE7" w:rsidRDefault="00976AE7" w:rsidP="00CB7675">
      <w:pPr>
        <w:spacing w:line="276" w:lineRule="auto"/>
        <w:jc w:val="both"/>
        <w:rPr>
          <w:rFonts w:ascii="Calibri" w:hAnsi="Calibri" w:cs="Calibri"/>
          <w:sz w:val="22"/>
          <w:szCs w:val="22"/>
        </w:rPr>
      </w:pPr>
      <w:r>
        <w:rPr>
          <w:rFonts w:ascii="Calibri" w:hAnsi="Calibri" w:cs="Calibri"/>
          <w:sz w:val="22"/>
          <w:szCs w:val="22"/>
        </w:rPr>
        <w:t>6.1.  The terms of this Policy may be amended by agreement by the Executive Committee.</w:t>
      </w:r>
    </w:p>
    <w:p w14:paraId="39970B77" w14:textId="77777777" w:rsidR="00426655" w:rsidRDefault="00426655" w:rsidP="00CB7675">
      <w:pPr>
        <w:spacing w:line="276" w:lineRule="auto"/>
        <w:jc w:val="both"/>
        <w:rPr>
          <w:rFonts w:ascii="Calibri" w:hAnsi="Calibri" w:cs="Calibri"/>
          <w:sz w:val="22"/>
          <w:szCs w:val="22"/>
        </w:rPr>
      </w:pPr>
    </w:p>
    <w:p w14:paraId="7005DB51" w14:textId="77777777" w:rsidR="00426655" w:rsidRDefault="00426655" w:rsidP="00CB7675">
      <w:pPr>
        <w:spacing w:line="276" w:lineRule="auto"/>
        <w:jc w:val="both"/>
        <w:rPr>
          <w:rFonts w:ascii="Calibri" w:hAnsi="Calibri" w:cs="Calibri"/>
          <w:sz w:val="22"/>
          <w:szCs w:val="22"/>
        </w:rPr>
      </w:pPr>
    </w:p>
    <w:p w14:paraId="1A4A7C72" w14:textId="77777777" w:rsidR="00426655" w:rsidRPr="00426655" w:rsidRDefault="00426655" w:rsidP="00426655">
      <w:pPr>
        <w:spacing w:line="276" w:lineRule="auto"/>
        <w:jc w:val="both"/>
        <w:rPr>
          <w:rFonts w:ascii="Calibri" w:hAnsi="Calibri" w:cs="Calibri"/>
          <w:b/>
          <w:bCs/>
          <w:sz w:val="22"/>
          <w:szCs w:val="22"/>
        </w:rPr>
      </w:pPr>
      <w:r w:rsidRPr="00426655">
        <w:rPr>
          <w:rFonts w:ascii="Calibri" w:hAnsi="Calibri" w:cs="Calibri"/>
          <w:b/>
          <w:bCs/>
          <w:sz w:val="22"/>
          <w:szCs w:val="22"/>
        </w:rPr>
        <w:t>Approved by the IAP Executive Committee on 28 September 2024 in Baku, Azerbaijan.</w:t>
      </w:r>
    </w:p>
    <w:p w14:paraId="3694D1E5" w14:textId="77777777" w:rsidR="00426655" w:rsidRPr="00426655" w:rsidRDefault="00426655" w:rsidP="00426655">
      <w:pPr>
        <w:spacing w:line="276" w:lineRule="auto"/>
        <w:jc w:val="both"/>
        <w:rPr>
          <w:rFonts w:ascii="Calibri" w:hAnsi="Calibri" w:cs="Calibri"/>
          <w:b/>
          <w:bCs/>
          <w:sz w:val="22"/>
          <w:szCs w:val="22"/>
        </w:rPr>
      </w:pPr>
      <w:r w:rsidRPr="00426655">
        <w:rPr>
          <w:rFonts w:ascii="Calibri" w:hAnsi="Calibri" w:cs="Calibri"/>
          <w:b/>
          <w:bCs/>
          <w:sz w:val="22"/>
          <w:szCs w:val="22"/>
        </w:rPr>
        <w:t>In force with immediate effect.</w:t>
      </w:r>
    </w:p>
    <w:p w14:paraId="57D53DDC" w14:textId="77777777" w:rsidR="00426655" w:rsidRPr="00976AE7" w:rsidRDefault="00426655" w:rsidP="00CB7675">
      <w:pPr>
        <w:spacing w:line="276" w:lineRule="auto"/>
        <w:jc w:val="both"/>
        <w:rPr>
          <w:rFonts w:ascii="Calibri" w:hAnsi="Calibri" w:cs="Calibri"/>
          <w:sz w:val="22"/>
          <w:szCs w:val="22"/>
        </w:rPr>
      </w:pPr>
    </w:p>
    <w:p w14:paraId="551DB7C8" w14:textId="77777777" w:rsidR="00CB7675" w:rsidRDefault="00CB7675" w:rsidP="00CB7675">
      <w:pPr>
        <w:spacing w:line="276" w:lineRule="auto"/>
        <w:jc w:val="both"/>
        <w:rPr>
          <w:rFonts w:ascii="Calibri" w:hAnsi="Calibri" w:cs="Calibri"/>
          <w:b/>
          <w:bCs/>
          <w:sz w:val="22"/>
          <w:szCs w:val="22"/>
        </w:rPr>
      </w:pPr>
    </w:p>
    <w:p w14:paraId="70204E3E" w14:textId="77777777" w:rsidR="00CB7675" w:rsidRDefault="00CB7675" w:rsidP="00CB7675"/>
    <w:p w14:paraId="670BAF34" w14:textId="77777777" w:rsidR="0068450E" w:rsidRDefault="0068450E"/>
    <w:sectPr w:rsidR="0068450E" w:rsidSect="00CB767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BC97C" w14:textId="77777777" w:rsidR="00C14EC8" w:rsidRDefault="00C14EC8">
      <w:r>
        <w:separator/>
      </w:r>
    </w:p>
  </w:endnote>
  <w:endnote w:type="continuationSeparator" w:id="0">
    <w:p w14:paraId="5655FA7A" w14:textId="77777777" w:rsidR="00C14EC8" w:rsidRDefault="00C1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599457"/>
      <w:docPartObj>
        <w:docPartGallery w:val="Page Numbers (Bottom of Page)"/>
        <w:docPartUnique/>
      </w:docPartObj>
    </w:sdtPr>
    <w:sdtEndPr>
      <w:rPr>
        <w:noProof/>
      </w:rPr>
    </w:sdtEndPr>
    <w:sdtContent>
      <w:p w14:paraId="22669184" w14:textId="77777777" w:rsidR="00737172" w:rsidRDefault="00737172">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53E94B7F" w14:textId="77777777" w:rsidR="00737172" w:rsidRDefault="00737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888D0" w14:textId="77777777" w:rsidR="00C14EC8" w:rsidRDefault="00C14EC8">
      <w:r>
        <w:separator/>
      </w:r>
    </w:p>
  </w:footnote>
  <w:footnote w:type="continuationSeparator" w:id="0">
    <w:p w14:paraId="4C12341A" w14:textId="77777777" w:rsidR="00C14EC8" w:rsidRDefault="00C14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70052"/>
    <w:multiLevelType w:val="hybridMultilevel"/>
    <w:tmpl w:val="1414BD48"/>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67F43BB5"/>
    <w:multiLevelType w:val="hybridMultilevel"/>
    <w:tmpl w:val="C102E2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CF4C6A"/>
    <w:multiLevelType w:val="hybridMultilevel"/>
    <w:tmpl w:val="AC086330"/>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974259352">
    <w:abstractNumId w:val="1"/>
  </w:num>
  <w:num w:numId="2" w16cid:durableId="1639458402">
    <w:abstractNumId w:val="0"/>
  </w:num>
  <w:num w:numId="3" w16cid:durableId="17901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75"/>
    <w:rsid w:val="0009080F"/>
    <w:rsid w:val="000D2D66"/>
    <w:rsid w:val="00214F74"/>
    <w:rsid w:val="002359BC"/>
    <w:rsid w:val="002F7200"/>
    <w:rsid w:val="003B402D"/>
    <w:rsid w:val="00426655"/>
    <w:rsid w:val="004E5589"/>
    <w:rsid w:val="00620012"/>
    <w:rsid w:val="0068450E"/>
    <w:rsid w:val="006905C9"/>
    <w:rsid w:val="00737172"/>
    <w:rsid w:val="00880184"/>
    <w:rsid w:val="00966572"/>
    <w:rsid w:val="00976AE7"/>
    <w:rsid w:val="00B8322E"/>
    <w:rsid w:val="00C14EC8"/>
    <w:rsid w:val="00CB7675"/>
    <w:rsid w:val="00CE141D"/>
    <w:rsid w:val="00CF730B"/>
    <w:rsid w:val="00D43DF0"/>
    <w:rsid w:val="00DD0646"/>
    <w:rsid w:val="00DE432A"/>
    <w:rsid w:val="00F83B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7F70"/>
  <w15:chartTrackingRefBased/>
  <w15:docId w15:val="{9B244B4C-9E83-4B81-9EFB-8DAAE6B7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75"/>
    <w:pPr>
      <w:spacing w:after="0" w:line="240" w:lineRule="auto"/>
    </w:pPr>
    <w:rPr>
      <w:rFonts w:ascii="Century Gothic" w:eastAsia="Times New Roman" w:hAnsi="Century Gothic" w:cs="Times New Roman"/>
      <w:kern w:val="0"/>
      <w:sz w:val="24"/>
      <w:szCs w:val="20"/>
      <w14:ligatures w14:val="none"/>
    </w:rPr>
  </w:style>
  <w:style w:type="paragraph" w:styleId="Heading1">
    <w:name w:val="heading 1"/>
    <w:basedOn w:val="Normal"/>
    <w:next w:val="Normal"/>
    <w:link w:val="Heading1Char"/>
    <w:uiPriority w:val="9"/>
    <w:qFormat/>
    <w:rsid w:val="00CB7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6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6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76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76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76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76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76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6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6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76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76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76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76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76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76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6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6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7675"/>
    <w:pPr>
      <w:spacing w:before="160"/>
      <w:jc w:val="center"/>
    </w:pPr>
    <w:rPr>
      <w:i/>
      <w:iCs/>
      <w:color w:val="404040" w:themeColor="text1" w:themeTint="BF"/>
    </w:rPr>
  </w:style>
  <w:style w:type="character" w:customStyle="1" w:styleId="QuoteChar">
    <w:name w:val="Quote Char"/>
    <w:basedOn w:val="DefaultParagraphFont"/>
    <w:link w:val="Quote"/>
    <w:uiPriority w:val="29"/>
    <w:rsid w:val="00CB7675"/>
    <w:rPr>
      <w:i/>
      <w:iCs/>
      <w:color w:val="404040" w:themeColor="text1" w:themeTint="BF"/>
    </w:rPr>
  </w:style>
  <w:style w:type="paragraph" w:styleId="ListParagraph">
    <w:name w:val="List Paragraph"/>
    <w:basedOn w:val="Normal"/>
    <w:uiPriority w:val="1"/>
    <w:qFormat/>
    <w:rsid w:val="00CB7675"/>
    <w:pPr>
      <w:ind w:left="720"/>
      <w:contextualSpacing/>
    </w:pPr>
  </w:style>
  <w:style w:type="character" w:styleId="IntenseEmphasis">
    <w:name w:val="Intense Emphasis"/>
    <w:basedOn w:val="DefaultParagraphFont"/>
    <w:uiPriority w:val="21"/>
    <w:qFormat/>
    <w:rsid w:val="00CB7675"/>
    <w:rPr>
      <w:i/>
      <w:iCs/>
      <w:color w:val="0F4761" w:themeColor="accent1" w:themeShade="BF"/>
    </w:rPr>
  </w:style>
  <w:style w:type="paragraph" w:styleId="IntenseQuote">
    <w:name w:val="Intense Quote"/>
    <w:basedOn w:val="Normal"/>
    <w:next w:val="Normal"/>
    <w:link w:val="IntenseQuoteChar"/>
    <w:uiPriority w:val="30"/>
    <w:qFormat/>
    <w:rsid w:val="00CB7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675"/>
    <w:rPr>
      <w:i/>
      <w:iCs/>
      <w:color w:val="0F4761" w:themeColor="accent1" w:themeShade="BF"/>
    </w:rPr>
  </w:style>
  <w:style w:type="character" w:styleId="IntenseReference">
    <w:name w:val="Intense Reference"/>
    <w:basedOn w:val="DefaultParagraphFont"/>
    <w:uiPriority w:val="32"/>
    <w:qFormat/>
    <w:rsid w:val="00CB7675"/>
    <w:rPr>
      <w:b/>
      <w:bCs/>
      <w:smallCaps/>
      <w:color w:val="0F4761" w:themeColor="accent1" w:themeShade="BF"/>
      <w:spacing w:val="5"/>
    </w:rPr>
  </w:style>
  <w:style w:type="character" w:styleId="Strong">
    <w:name w:val="Strong"/>
    <w:basedOn w:val="DefaultParagraphFont"/>
    <w:uiPriority w:val="22"/>
    <w:qFormat/>
    <w:rsid w:val="00CB7675"/>
    <w:rPr>
      <w:b/>
    </w:rPr>
  </w:style>
  <w:style w:type="paragraph" w:styleId="Footer">
    <w:name w:val="footer"/>
    <w:basedOn w:val="Normal"/>
    <w:link w:val="FooterChar"/>
    <w:uiPriority w:val="99"/>
    <w:unhideWhenUsed/>
    <w:rsid w:val="00CB7675"/>
    <w:pPr>
      <w:tabs>
        <w:tab w:val="center" w:pos="4513"/>
        <w:tab w:val="right" w:pos="9026"/>
      </w:tabs>
    </w:pPr>
  </w:style>
  <w:style w:type="character" w:customStyle="1" w:styleId="FooterChar">
    <w:name w:val="Footer Char"/>
    <w:basedOn w:val="DefaultParagraphFont"/>
    <w:link w:val="Footer"/>
    <w:uiPriority w:val="99"/>
    <w:rsid w:val="00CB7675"/>
    <w:rPr>
      <w:rFonts w:ascii="Century Gothic" w:eastAsia="Times New Roman" w:hAnsi="Century Gothic" w:cs="Times New Roman"/>
      <w:kern w:val="0"/>
      <w:sz w:val="24"/>
      <w:szCs w:val="20"/>
      <w14:ligatures w14:val="none"/>
    </w:rPr>
  </w:style>
  <w:style w:type="character" w:styleId="CommentReference">
    <w:name w:val="annotation reference"/>
    <w:basedOn w:val="DefaultParagraphFont"/>
    <w:uiPriority w:val="99"/>
    <w:semiHidden/>
    <w:unhideWhenUsed/>
    <w:rsid w:val="00737172"/>
    <w:rPr>
      <w:sz w:val="16"/>
      <w:szCs w:val="16"/>
    </w:rPr>
  </w:style>
  <w:style w:type="paragraph" w:styleId="CommentText">
    <w:name w:val="annotation text"/>
    <w:basedOn w:val="Normal"/>
    <w:link w:val="CommentTextChar"/>
    <w:uiPriority w:val="99"/>
    <w:unhideWhenUsed/>
    <w:rsid w:val="00737172"/>
    <w:rPr>
      <w:sz w:val="20"/>
    </w:rPr>
  </w:style>
  <w:style w:type="character" w:customStyle="1" w:styleId="CommentTextChar">
    <w:name w:val="Comment Text Char"/>
    <w:basedOn w:val="DefaultParagraphFont"/>
    <w:link w:val="CommentText"/>
    <w:uiPriority w:val="99"/>
    <w:rsid w:val="00737172"/>
    <w:rPr>
      <w:rFonts w:ascii="Century Gothic" w:eastAsia="Times New Roman" w:hAnsi="Century Gothic"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37172"/>
    <w:rPr>
      <w:b/>
      <w:bCs/>
    </w:rPr>
  </w:style>
  <w:style w:type="character" w:customStyle="1" w:styleId="CommentSubjectChar">
    <w:name w:val="Comment Subject Char"/>
    <w:basedOn w:val="CommentTextChar"/>
    <w:link w:val="CommentSubject"/>
    <w:uiPriority w:val="99"/>
    <w:semiHidden/>
    <w:rsid w:val="00737172"/>
    <w:rPr>
      <w:rFonts w:ascii="Century Gothic" w:eastAsia="Times New Roman" w:hAnsi="Century Gothic"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42402">
      <w:bodyDiv w:val="1"/>
      <w:marLeft w:val="0"/>
      <w:marRight w:val="0"/>
      <w:marTop w:val="0"/>
      <w:marBottom w:val="0"/>
      <w:divBdr>
        <w:top w:val="none" w:sz="0" w:space="0" w:color="auto"/>
        <w:left w:val="none" w:sz="0" w:space="0" w:color="auto"/>
        <w:bottom w:val="none" w:sz="0" w:space="0" w:color="auto"/>
        <w:right w:val="none" w:sz="0" w:space="0" w:color="auto"/>
      </w:divBdr>
    </w:div>
    <w:div w:id="13967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Counsel</dc:creator>
  <cp:keywords/>
  <dc:description/>
  <cp:lastModifiedBy>General Counsel</cp:lastModifiedBy>
  <cp:revision>12</cp:revision>
  <dcterms:created xsi:type="dcterms:W3CDTF">2024-08-03T14:58:00Z</dcterms:created>
  <dcterms:modified xsi:type="dcterms:W3CDTF">2024-12-07T13:51:00Z</dcterms:modified>
</cp:coreProperties>
</file>