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22" w:rsidRPr="00045322" w:rsidRDefault="00045322" w:rsidP="00045322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45322">
        <w:rPr>
          <w:rFonts w:ascii="Arial" w:hAnsi="Arial" w:cs="Arial"/>
          <w:b/>
          <w:sz w:val="28"/>
          <w:szCs w:val="28"/>
          <w:lang w:val="en-US"/>
        </w:rPr>
        <w:t>Mr. Renato Finocchi Ghersi</w:t>
      </w:r>
    </w:p>
    <w:p w:rsidR="00045322" w:rsidRPr="002D64C7" w:rsidRDefault="00045322" w:rsidP="00045322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D64C7">
        <w:rPr>
          <w:rFonts w:ascii="Arial" w:hAnsi="Arial" w:cs="Arial"/>
          <w:b/>
          <w:sz w:val="28"/>
          <w:szCs w:val="28"/>
          <w:lang w:val="en-US"/>
        </w:rPr>
        <w:t xml:space="preserve">Advocate General, Supreme Court </w:t>
      </w:r>
      <w:r w:rsidR="00831AD1">
        <w:rPr>
          <w:rFonts w:ascii="Arial" w:hAnsi="Arial" w:cs="Arial"/>
          <w:b/>
          <w:sz w:val="28"/>
          <w:szCs w:val="28"/>
          <w:lang w:val="en-US"/>
        </w:rPr>
        <w:t>of C</w:t>
      </w:r>
      <w:r w:rsidRPr="002D64C7">
        <w:rPr>
          <w:rFonts w:ascii="Arial" w:hAnsi="Arial" w:cs="Arial"/>
          <w:b/>
          <w:sz w:val="28"/>
          <w:szCs w:val="28"/>
          <w:lang w:val="en-US"/>
        </w:rPr>
        <w:t>assation</w:t>
      </w:r>
    </w:p>
    <w:p w:rsidR="00045322" w:rsidRDefault="00045322" w:rsidP="00045322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45322">
        <w:rPr>
          <w:rFonts w:ascii="Arial" w:hAnsi="Arial" w:cs="Arial"/>
          <w:b/>
          <w:sz w:val="28"/>
          <w:szCs w:val="28"/>
          <w:lang w:val="en-US"/>
        </w:rPr>
        <w:t>Italy</w:t>
      </w:r>
    </w:p>
    <w:p w:rsidR="00890DF4" w:rsidRDefault="00890DF4" w:rsidP="00045322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90DF4" w:rsidRDefault="00890DF4" w:rsidP="00045322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90DF4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2514600" cy="1880075"/>
            <wp:effectExtent l="0" t="0" r="0" b="6350"/>
            <wp:docPr id="1" name="Immagine 1" descr="Finocchi Ghersi, Renato - Intervista - Roma (RM), Italia (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occhi Ghersi, Renato - Intervista - Roma (RM), Italia (I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70" cy="189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22" w:rsidRPr="002D64C7" w:rsidRDefault="00045322" w:rsidP="00831AD1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2D64C7">
        <w:rPr>
          <w:rFonts w:ascii="Arial" w:hAnsi="Arial" w:cs="Arial"/>
          <w:bCs/>
          <w:sz w:val="28"/>
          <w:szCs w:val="28"/>
          <w:lang w:val="en-US"/>
        </w:rPr>
        <w:t xml:space="preserve">He has been </w:t>
      </w:r>
      <w:r w:rsidR="005668B2">
        <w:rPr>
          <w:rFonts w:ascii="Arial" w:hAnsi="Arial" w:cs="Arial"/>
          <w:bCs/>
          <w:sz w:val="28"/>
          <w:szCs w:val="28"/>
          <w:lang w:val="en-US"/>
        </w:rPr>
        <w:t xml:space="preserve">a </w:t>
      </w:r>
      <w:r w:rsidRPr="002D64C7">
        <w:rPr>
          <w:rFonts w:ascii="Arial" w:hAnsi="Arial" w:cs="Arial"/>
          <w:bCs/>
          <w:sz w:val="28"/>
          <w:szCs w:val="28"/>
          <w:lang w:val="en-US"/>
        </w:rPr>
        <w:t xml:space="preserve">member of the judiciary since 1980, and he has performed his functions as </w:t>
      </w:r>
      <w:r w:rsidR="005668B2">
        <w:rPr>
          <w:rFonts w:ascii="Arial" w:hAnsi="Arial" w:cs="Arial"/>
          <w:bCs/>
          <w:sz w:val="28"/>
          <w:szCs w:val="28"/>
          <w:lang w:val="en-US"/>
        </w:rPr>
        <w:t xml:space="preserve">a </w:t>
      </w:r>
      <w:r w:rsidRPr="002D64C7">
        <w:rPr>
          <w:rFonts w:ascii="Arial" w:hAnsi="Arial" w:cs="Arial"/>
          <w:bCs/>
          <w:sz w:val="28"/>
          <w:szCs w:val="28"/>
          <w:lang w:val="en-US"/>
        </w:rPr>
        <w:t xml:space="preserve">judge and </w:t>
      </w:r>
      <w:r w:rsidR="005668B2">
        <w:rPr>
          <w:rFonts w:ascii="Arial" w:hAnsi="Arial" w:cs="Arial"/>
          <w:bCs/>
          <w:sz w:val="28"/>
          <w:szCs w:val="28"/>
          <w:lang w:val="en-US"/>
        </w:rPr>
        <w:t xml:space="preserve">as a </w:t>
      </w:r>
      <w:r w:rsidRPr="002D64C7">
        <w:rPr>
          <w:rFonts w:ascii="Arial" w:hAnsi="Arial" w:cs="Arial"/>
          <w:bCs/>
          <w:sz w:val="28"/>
          <w:szCs w:val="28"/>
          <w:lang w:val="en-US"/>
        </w:rPr>
        <w:t xml:space="preserve">public prosecutor. </w:t>
      </w:r>
    </w:p>
    <w:p w:rsidR="00045322" w:rsidRPr="002D64C7" w:rsidRDefault="00045322" w:rsidP="00831AD1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2D64C7">
        <w:rPr>
          <w:rFonts w:ascii="Arial" w:hAnsi="Arial" w:cs="Arial"/>
          <w:bCs/>
          <w:sz w:val="28"/>
          <w:szCs w:val="28"/>
          <w:lang w:val="en-US"/>
        </w:rPr>
        <w:t>Since 2001, he has performed the judicial functions at the Prosecutor General’s Office of the Supreme Court of C</w:t>
      </w:r>
      <w:r w:rsidR="005668B2">
        <w:rPr>
          <w:rFonts w:ascii="Arial" w:hAnsi="Arial" w:cs="Arial"/>
          <w:bCs/>
          <w:sz w:val="28"/>
          <w:szCs w:val="28"/>
          <w:lang w:val="en-US"/>
        </w:rPr>
        <w:t>assation, at</w:t>
      </w:r>
      <w:r w:rsidRPr="002D64C7">
        <w:rPr>
          <w:rFonts w:ascii="Arial" w:hAnsi="Arial" w:cs="Arial"/>
          <w:bCs/>
          <w:sz w:val="28"/>
          <w:szCs w:val="28"/>
          <w:lang w:val="en-US"/>
        </w:rPr>
        <w:t xml:space="preserve"> Appeal </w:t>
      </w:r>
      <w:r w:rsidR="005668B2">
        <w:rPr>
          <w:rFonts w:ascii="Arial" w:hAnsi="Arial" w:cs="Arial"/>
          <w:bCs/>
          <w:sz w:val="28"/>
          <w:szCs w:val="28"/>
          <w:lang w:val="en-US"/>
        </w:rPr>
        <w:t>Court level</w:t>
      </w:r>
      <w:r w:rsidRPr="002D64C7">
        <w:rPr>
          <w:rFonts w:ascii="Arial" w:hAnsi="Arial" w:cs="Arial"/>
          <w:bCs/>
          <w:sz w:val="28"/>
          <w:szCs w:val="28"/>
          <w:lang w:val="en-US"/>
        </w:rPr>
        <w:t xml:space="preserve"> first and then a</w:t>
      </w:r>
      <w:r w:rsidR="005668B2">
        <w:rPr>
          <w:rFonts w:ascii="Arial" w:hAnsi="Arial" w:cs="Arial"/>
          <w:bCs/>
          <w:sz w:val="28"/>
          <w:szCs w:val="28"/>
          <w:lang w:val="en-US"/>
        </w:rPr>
        <w:t>t</w:t>
      </w:r>
      <w:r w:rsidRPr="002D64C7">
        <w:rPr>
          <w:rFonts w:ascii="Arial" w:hAnsi="Arial" w:cs="Arial"/>
          <w:bCs/>
          <w:sz w:val="28"/>
          <w:szCs w:val="28"/>
          <w:lang w:val="en-US"/>
        </w:rPr>
        <w:t xml:space="preserve"> Supreme Court </w:t>
      </w:r>
      <w:r w:rsidR="005668B2">
        <w:rPr>
          <w:rFonts w:ascii="Arial" w:hAnsi="Arial" w:cs="Arial"/>
          <w:bCs/>
          <w:sz w:val="28"/>
          <w:szCs w:val="28"/>
          <w:lang w:val="en-US"/>
        </w:rPr>
        <w:t>level,</w:t>
      </w:r>
      <w:r w:rsidRPr="002D64C7">
        <w:rPr>
          <w:rFonts w:ascii="Arial" w:hAnsi="Arial" w:cs="Arial"/>
          <w:bCs/>
          <w:sz w:val="28"/>
          <w:szCs w:val="28"/>
          <w:lang w:val="en-US"/>
        </w:rPr>
        <w:t xml:space="preserve"> working in civil and in criminal matters.</w:t>
      </w:r>
    </w:p>
    <w:p w:rsidR="00045322" w:rsidRPr="002D64C7" w:rsidRDefault="00045322" w:rsidP="00831AD1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2D64C7">
        <w:rPr>
          <w:rFonts w:ascii="Arial" w:hAnsi="Arial" w:cs="Arial"/>
          <w:bCs/>
          <w:sz w:val="28"/>
          <w:szCs w:val="28"/>
          <w:lang w:val="en-US"/>
        </w:rPr>
        <w:t xml:space="preserve">Since 2018, he has filled an executive role, as Advocate-general </w:t>
      </w:r>
      <w:r w:rsidR="00890DF4">
        <w:rPr>
          <w:rFonts w:ascii="Arial" w:hAnsi="Arial" w:cs="Arial"/>
          <w:bCs/>
          <w:sz w:val="28"/>
          <w:szCs w:val="28"/>
          <w:lang w:val="en-US"/>
        </w:rPr>
        <w:t>of</w:t>
      </w:r>
      <w:r w:rsidRPr="002D64C7">
        <w:rPr>
          <w:rFonts w:ascii="Arial" w:hAnsi="Arial" w:cs="Arial"/>
          <w:bCs/>
          <w:sz w:val="28"/>
          <w:szCs w:val="28"/>
          <w:lang w:val="en-US"/>
        </w:rPr>
        <w:t xml:space="preserve"> the Prosecutor General</w:t>
      </w:r>
      <w:r w:rsidR="00831AD1">
        <w:rPr>
          <w:rFonts w:ascii="Arial" w:hAnsi="Arial" w:cs="Arial"/>
          <w:bCs/>
          <w:sz w:val="28"/>
          <w:szCs w:val="28"/>
          <w:lang w:val="en-US"/>
        </w:rPr>
        <w:t>’s</w:t>
      </w:r>
      <w:r w:rsidRPr="002D64C7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831AD1">
        <w:rPr>
          <w:rFonts w:ascii="Arial" w:hAnsi="Arial" w:cs="Arial"/>
          <w:bCs/>
          <w:sz w:val="28"/>
          <w:szCs w:val="28"/>
          <w:lang w:val="en-US"/>
        </w:rPr>
        <w:t>Office at the Supreme Court of C</w:t>
      </w:r>
      <w:r w:rsidRPr="002D64C7">
        <w:rPr>
          <w:rFonts w:ascii="Arial" w:hAnsi="Arial" w:cs="Arial"/>
          <w:bCs/>
          <w:sz w:val="28"/>
          <w:szCs w:val="28"/>
          <w:lang w:val="en-US"/>
        </w:rPr>
        <w:t>assation.</w:t>
      </w:r>
    </w:p>
    <w:p w:rsidR="00045322" w:rsidRPr="002D64C7" w:rsidRDefault="00045322" w:rsidP="00A66490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2D64C7">
        <w:rPr>
          <w:rFonts w:ascii="Arial" w:hAnsi="Arial" w:cs="Arial"/>
          <w:bCs/>
          <w:sz w:val="28"/>
          <w:szCs w:val="28"/>
          <w:lang w:val="en-US"/>
        </w:rPr>
        <w:t xml:space="preserve">As such, he has led the Service for civil affairs, </w:t>
      </w:r>
      <w:r w:rsidR="00A66490">
        <w:rPr>
          <w:rFonts w:ascii="Arial" w:hAnsi="Arial" w:cs="Arial"/>
          <w:bCs/>
          <w:sz w:val="28"/>
          <w:szCs w:val="28"/>
          <w:lang w:val="en-US"/>
        </w:rPr>
        <w:t xml:space="preserve">by </w:t>
      </w:r>
      <w:r w:rsidRPr="002D64C7">
        <w:rPr>
          <w:rFonts w:ascii="Arial" w:hAnsi="Arial" w:cs="Arial"/>
          <w:bCs/>
          <w:sz w:val="28"/>
          <w:szCs w:val="28"/>
          <w:lang w:val="en-US"/>
        </w:rPr>
        <w:t>coordinating Deputy Prosecutors General who plead in front of the highest panel of the Supreme Court in Joint Sessions</w:t>
      </w:r>
      <w:r w:rsidR="00A66490">
        <w:rPr>
          <w:rFonts w:ascii="Arial" w:hAnsi="Arial" w:cs="Arial"/>
          <w:bCs/>
          <w:sz w:val="28"/>
          <w:szCs w:val="28"/>
          <w:lang w:val="en-US"/>
        </w:rPr>
        <w:t>.</w:t>
      </w:r>
    </w:p>
    <w:p w:rsidR="00045322" w:rsidRPr="002D64C7" w:rsidRDefault="00045322" w:rsidP="00A66490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2D64C7">
        <w:rPr>
          <w:rFonts w:ascii="Arial" w:hAnsi="Arial" w:cs="Arial"/>
          <w:bCs/>
          <w:sz w:val="28"/>
          <w:szCs w:val="28"/>
          <w:lang w:val="en-US"/>
        </w:rPr>
        <w:t xml:space="preserve">Besides, he has also led the Office for </w:t>
      </w:r>
      <w:r w:rsidR="00A66490">
        <w:rPr>
          <w:rFonts w:ascii="Arial" w:hAnsi="Arial" w:cs="Arial"/>
          <w:bCs/>
          <w:sz w:val="28"/>
          <w:szCs w:val="28"/>
          <w:lang w:val="en-US"/>
        </w:rPr>
        <w:t>I</w:t>
      </w:r>
      <w:r w:rsidRPr="002D64C7">
        <w:rPr>
          <w:rFonts w:ascii="Arial" w:hAnsi="Arial" w:cs="Arial"/>
          <w:bCs/>
          <w:sz w:val="28"/>
          <w:szCs w:val="28"/>
          <w:lang w:val="en-US"/>
        </w:rPr>
        <w:t>nternational Affairs of the Prosecutor General</w:t>
      </w:r>
      <w:r w:rsidR="00890DF4">
        <w:rPr>
          <w:rFonts w:ascii="Arial" w:hAnsi="Arial" w:cs="Arial"/>
          <w:bCs/>
          <w:sz w:val="28"/>
          <w:szCs w:val="28"/>
          <w:lang w:val="en-US"/>
        </w:rPr>
        <w:t>’s</w:t>
      </w:r>
      <w:r w:rsidRPr="002D64C7">
        <w:rPr>
          <w:rFonts w:ascii="Arial" w:hAnsi="Arial" w:cs="Arial"/>
          <w:bCs/>
          <w:sz w:val="28"/>
          <w:szCs w:val="28"/>
          <w:lang w:val="en-US"/>
        </w:rPr>
        <w:t xml:space="preserve"> Office at the Supreme Court of Cassation. As a delegate of the Prosecutor General, he participates to international activities, and he represents the Prosecutor General</w:t>
      </w:r>
      <w:r w:rsidR="00A66490">
        <w:rPr>
          <w:rFonts w:ascii="Arial" w:hAnsi="Arial" w:cs="Arial"/>
          <w:bCs/>
          <w:sz w:val="28"/>
          <w:szCs w:val="28"/>
          <w:lang w:val="en-US"/>
        </w:rPr>
        <w:t>’s</w:t>
      </w:r>
      <w:r w:rsidRPr="002D64C7">
        <w:rPr>
          <w:rFonts w:ascii="Arial" w:hAnsi="Arial" w:cs="Arial"/>
          <w:bCs/>
          <w:sz w:val="28"/>
          <w:szCs w:val="28"/>
          <w:lang w:val="en-US"/>
        </w:rPr>
        <w:t xml:space="preserve"> Office in various organizations, such as the </w:t>
      </w:r>
      <w:r w:rsidRPr="002D64C7">
        <w:rPr>
          <w:rFonts w:ascii="Arial" w:hAnsi="Arial" w:cs="Arial"/>
          <w:color w:val="000000"/>
          <w:sz w:val="28"/>
          <w:szCs w:val="28"/>
          <w:lang w:val="en-US"/>
        </w:rPr>
        <w:t xml:space="preserve">Network of Prosecutors General and Equivalent Institutions in Supreme </w:t>
      </w:r>
      <w:r w:rsidRPr="002D64C7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>Courts of the European Union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2D64C7">
        <w:rPr>
          <w:rFonts w:ascii="Arial" w:hAnsi="Arial" w:cs="Arial"/>
          <w:bCs/>
          <w:sz w:val="28"/>
          <w:szCs w:val="28"/>
          <w:lang w:val="en-US"/>
        </w:rPr>
        <w:t>(Nadal Network), and the yearly Forum of Prosecutor General at Eurojust.</w:t>
      </w:r>
    </w:p>
    <w:p w:rsidR="00045322" w:rsidRDefault="00045322" w:rsidP="00A66490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477BCB">
        <w:rPr>
          <w:rFonts w:ascii="Arial" w:hAnsi="Arial" w:cs="Arial"/>
          <w:bCs/>
          <w:sz w:val="28"/>
          <w:szCs w:val="28"/>
          <w:lang w:val="en-US"/>
        </w:rPr>
        <w:t xml:space="preserve">On several </w:t>
      </w:r>
      <w:r w:rsidR="000668B5">
        <w:rPr>
          <w:rFonts w:ascii="Arial" w:hAnsi="Arial" w:cs="Arial"/>
          <w:bCs/>
          <w:sz w:val="28"/>
          <w:szCs w:val="28"/>
          <w:lang w:val="en-US"/>
        </w:rPr>
        <w:t>o</w:t>
      </w:r>
      <w:r w:rsidRPr="00477BCB">
        <w:rPr>
          <w:rFonts w:ascii="Arial" w:hAnsi="Arial" w:cs="Arial"/>
          <w:bCs/>
          <w:sz w:val="28"/>
          <w:szCs w:val="28"/>
          <w:lang w:val="en-US"/>
        </w:rPr>
        <w:t xml:space="preserve">ccasions, he performed executive functions </w:t>
      </w:r>
      <w:r w:rsidR="00A66490">
        <w:rPr>
          <w:rFonts w:ascii="Arial" w:hAnsi="Arial" w:cs="Arial"/>
          <w:bCs/>
          <w:sz w:val="28"/>
          <w:szCs w:val="28"/>
          <w:lang w:val="en-US"/>
        </w:rPr>
        <w:t>beyond</w:t>
      </w:r>
      <w:r w:rsidRPr="00477BCB">
        <w:rPr>
          <w:rFonts w:ascii="Arial" w:hAnsi="Arial" w:cs="Arial"/>
          <w:bCs/>
          <w:sz w:val="28"/>
          <w:szCs w:val="28"/>
          <w:lang w:val="en-US"/>
        </w:rPr>
        <w:t xml:space="preserve"> his role </w:t>
      </w:r>
      <w:r>
        <w:rPr>
          <w:rFonts w:ascii="Arial" w:hAnsi="Arial" w:cs="Arial"/>
          <w:bCs/>
          <w:sz w:val="28"/>
          <w:szCs w:val="28"/>
          <w:lang w:val="en-US"/>
        </w:rPr>
        <w:t>with</w:t>
      </w:r>
      <w:r w:rsidR="000668B5">
        <w:rPr>
          <w:rFonts w:ascii="Arial" w:hAnsi="Arial" w:cs="Arial"/>
          <w:bCs/>
          <w:sz w:val="28"/>
          <w:szCs w:val="28"/>
          <w:lang w:val="en-US"/>
        </w:rPr>
        <w:t>in the ju</w:t>
      </w:r>
      <w:r w:rsidRPr="00477BCB">
        <w:rPr>
          <w:rFonts w:ascii="Arial" w:hAnsi="Arial" w:cs="Arial"/>
          <w:bCs/>
          <w:sz w:val="28"/>
          <w:szCs w:val="28"/>
          <w:lang w:val="en-US"/>
        </w:rPr>
        <w:t xml:space="preserve">diciary. </w:t>
      </w:r>
    </w:p>
    <w:p w:rsidR="000668B5" w:rsidRPr="000668B5" w:rsidRDefault="000668B5" w:rsidP="005668B2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>He was Head of the Minister of Justice’s Cabinet during the Government led by PM</w:t>
      </w:r>
      <w:r w:rsidRPr="000668B5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/>
        </w:rPr>
        <w:t>Enrico Letta (2013-2014). He was Head of the Minister of Health’s Cabinet during the government led by PM</w:t>
      </w:r>
      <w:r w:rsidRPr="000668B5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/>
        </w:rPr>
        <w:t xml:space="preserve">Romano Prodi </w:t>
      </w:r>
      <w:r w:rsidRPr="000668B5">
        <w:rPr>
          <w:rFonts w:ascii="Arial" w:hAnsi="Arial" w:cs="Arial"/>
          <w:bCs/>
          <w:sz w:val="28"/>
          <w:szCs w:val="28"/>
          <w:lang w:val="en-US"/>
        </w:rPr>
        <w:t>(2006-2008);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he was the Head of the legislative Office of the Minister for Social Affairs</w:t>
      </w:r>
      <w:r w:rsidRPr="000668B5">
        <w:rPr>
          <w:rFonts w:ascii="Arial" w:hAnsi="Arial" w:cs="Arial"/>
          <w:bCs/>
          <w:sz w:val="28"/>
          <w:szCs w:val="28"/>
          <w:lang w:val="en-US"/>
        </w:rPr>
        <w:t xml:space="preserve"> (1996-2001) </w:t>
      </w:r>
      <w:r>
        <w:rPr>
          <w:rFonts w:ascii="Arial" w:hAnsi="Arial" w:cs="Arial"/>
          <w:bCs/>
          <w:sz w:val="28"/>
          <w:szCs w:val="28"/>
          <w:lang w:val="en-US"/>
        </w:rPr>
        <w:t>during the governments led by PM Romano Prodi, PM Massimo D’Alema and PM Giuliano</w:t>
      </w:r>
      <w:r w:rsidR="00A66490">
        <w:rPr>
          <w:rFonts w:ascii="Arial" w:hAnsi="Arial" w:cs="Arial"/>
          <w:bCs/>
          <w:sz w:val="28"/>
          <w:szCs w:val="28"/>
          <w:lang w:val="en-US"/>
        </w:rPr>
        <w:t xml:space="preserve"> Amato</w:t>
      </w:r>
      <w:r>
        <w:rPr>
          <w:rFonts w:ascii="Arial" w:hAnsi="Arial" w:cs="Arial"/>
          <w:bCs/>
          <w:sz w:val="28"/>
          <w:szCs w:val="28"/>
          <w:lang w:val="en-US"/>
        </w:rPr>
        <w:t>.</w:t>
      </w:r>
    </w:p>
    <w:p w:rsidR="000668B5" w:rsidRPr="000668B5" w:rsidRDefault="000668B5" w:rsidP="005668B2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0668B5">
        <w:rPr>
          <w:rFonts w:ascii="Arial" w:hAnsi="Arial" w:cs="Arial"/>
          <w:bCs/>
          <w:sz w:val="28"/>
          <w:szCs w:val="28"/>
          <w:lang w:val="en-US"/>
        </w:rPr>
        <w:t xml:space="preserve">He </w:t>
      </w:r>
      <w:r w:rsidR="00A66490">
        <w:rPr>
          <w:rFonts w:ascii="Arial" w:hAnsi="Arial" w:cs="Arial"/>
          <w:bCs/>
          <w:sz w:val="28"/>
          <w:szCs w:val="28"/>
          <w:lang w:val="en-US"/>
        </w:rPr>
        <w:t xml:space="preserve">has been </w:t>
      </w:r>
      <w:r w:rsidRPr="000668B5">
        <w:rPr>
          <w:rFonts w:ascii="Arial" w:hAnsi="Arial" w:cs="Arial"/>
          <w:bCs/>
          <w:sz w:val="28"/>
          <w:szCs w:val="28"/>
          <w:lang w:val="en-US"/>
        </w:rPr>
        <w:t>research clerk at the Constitutional Court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from 1991 to </w:t>
      </w:r>
      <w:r w:rsidR="005668B2">
        <w:rPr>
          <w:rFonts w:ascii="Arial" w:hAnsi="Arial" w:cs="Arial"/>
          <w:bCs/>
          <w:sz w:val="28"/>
          <w:szCs w:val="28"/>
          <w:lang w:val="en-US"/>
        </w:rPr>
        <w:t>2000</w:t>
      </w:r>
      <w:r w:rsidR="00731524">
        <w:rPr>
          <w:rFonts w:ascii="Arial" w:hAnsi="Arial" w:cs="Arial"/>
          <w:bCs/>
          <w:sz w:val="28"/>
          <w:szCs w:val="28"/>
          <w:lang w:val="en-US"/>
        </w:rPr>
        <w:t>, working</w:t>
      </w:r>
      <w:r w:rsidR="005668B2">
        <w:rPr>
          <w:rFonts w:ascii="Arial" w:hAnsi="Arial" w:cs="Arial"/>
          <w:bCs/>
          <w:sz w:val="28"/>
          <w:szCs w:val="28"/>
          <w:lang w:val="en-US"/>
        </w:rPr>
        <w:t xml:space="preserve"> with the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Constitutional Judges</w:t>
      </w:r>
      <w:r w:rsidR="005668B2">
        <w:rPr>
          <w:rFonts w:ascii="Arial" w:hAnsi="Arial" w:cs="Arial"/>
          <w:bCs/>
          <w:sz w:val="28"/>
          <w:szCs w:val="28"/>
          <w:lang w:val="en-US"/>
        </w:rPr>
        <w:t>,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Hon.</w:t>
      </w:r>
      <w:r w:rsidRPr="000668B5">
        <w:rPr>
          <w:rFonts w:ascii="Arial" w:hAnsi="Arial" w:cs="Arial"/>
          <w:bCs/>
          <w:sz w:val="28"/>
          <w:szCs w:val="28"/>
          <w:lang w:val="en-US"/>
        </w:rPr>
        <w:t xml:space="preserve"> Enzo Cheli </w:t>
      </w:r>
      <w:r>
        <w:rPr>
          <w:rFonts w:ascii="Arial" w:hAnsi="Arial" w:cs="Arial"/>
          <w:bCs/>
          <w:sz w:val="28"/>
          <w:szCs w:val="28"/>
          <w:lang w:val="en-US"/>
        </w:rPr>
        <w:t>and Hon.</w:t>
      </w:r>
      <w:r w:rsidR="005668B2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0668B5">
        <w:rPr>
          <w:rFonts w:ascii="Arial" w:hAnsi="Arial" w:cs="Arial"/>
          <w:bCs/>
          <w:sz w:val="28"/>
          <w:szCs w:val="28"/>
          <w:lang w:val="en-US"/>
        </w:rPr>
        <w:t>Valerio Onida.</w:t>
      </w:r>
    </w:p>
    <w:p w:rsidR="005668B2" w:rsidRDefault="005668B2" w:rsidP="005668B2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5668B2">
        <w:rPr>
          <w:rFonts w:ascii="Arial" w:hAnsi="Arial" w:cs="Arial"/>
          <w:bCs/>
          <w:sz w:val="28"/>
          <w:szCs w:val="28"/>
          <w:lang w:val="en-US"/>
        </w:rPr>
        <w:t>He has taught in different universities and participated to courses at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the Hi</w:t>
      </w:r>
      <w:r w:rsidRPr="005668B2">
        <w:rPr>
          <w:rFonts w:ascii="Arial" w:hAnsi="Arial" w:cs="Arial"/>
          <w:bCs/>
          <w:sz w:val="28"/>
          <w:szCs w:val="28"/>
          <w:lang w:val="en-US"/>
        </w:rPr>
        <w:t>gh Cou</w:t>
      </w:r>
      <w:r>
        <w:rPr>
          <w:rFonts w:ascii="Arial" w:hAnsi="Arial" w:cs="Arial"/>
          <w:bCs/>
          <w:sz w:val="28"/>
          <w:szCs w:val="28"/>
          <w:lang w:val="en-US"/>
        </w:rPr>
        <w:t>n</w:t>
      </w:r>
      <w:r w:rsidRPr="005668B2">
        <w:rPr>
          <w:rFonts w:ascii="Arial" w:hAnsi="Arial" w:cs="Arial"/>
          <w:bCs/>
          <w:sz w:val="28"/>
          <w:szCs w:val="28"/>
          <w:lang w:val="en-US"/>
        </w:rPr>
        <w:t xml:space="preserve">cil of the Judiciary. </w:t>
      </w:r>
    </w:p>
    <w:p w:rsidR="005668B2" w:rsidRDefault="005668B2" w:rsidP="005668B2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From 2001 to 2005, he </w:t>
      </w:r>
      <w:r w:rsidR="00A66490">
        <w:rPr>
          <w:rFonts w:ascii="Arial" w:hAnsi="Arial" w:cs="Arial"/>
          <w:bCs/>
          <w:sz w:val="28"/>
          <w:szCs w:val="28"/>
          <w:lang w:val="en-US"/>
        </w:rPr>
        <w:t>has been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Adjunct Professor at Tuscia University (Viterbo).</w:t>
      </w:r>
    </w:p>
    <w:p w:rsidR="005668B2" w:rsidRPr="005668B2" w:rsidRDefault="005668B2" w:rsidP="005668B2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He spent study visits abroad and he was visiting scholar at the </w:t>
      </w:r>
      <w:r w:rsidRPr="005668B2">
        <w:rPr>
          <w:rFonts w:ascii="Arial" w:hAnsi="Arial" w:cs="Arial"/>
          <w:bCs/>
          <w:sz w:val="28"/>
          <w:szCs w:val="28"/>
          <w:lang w:val="en-US"/>
        </w:rPr>
        <w:t>Center for Internatio</w:t>
      </w:r>
      <w:r w:rsidR="00731524">
        <w:rPr>
          <w:rFonts w:ascii="Arial" w:hAnsi="Arial" w:cs="Arial"/>
          <w:bCs/>
          <w:sz w:val="28"/>
          <w:szCs w:val="28"/>
          <w:lang w:val="en-US"/>
        </w:rPr>
        <w:t>nal Affairs, Harvard University,</w:t>
      </w:r>
      <w:r w:rsidRPr="005668B2">
        <w:rPr>
          <w:rFonts w:ascii="Arial" w:hAnsi="Arial" w:cs="Arial"/>
          <w:bCs/>
          <w:sz w:val="28"/>
          <w:szCs w:val="28"/>
          <w:lang w:val="en-US"/>
        </w:rPr>
        <w:t xml:space="preserve"> Nuffield College, </w:t>
      </w:r>
      <w:r w:rsidR="00A66490">
        <w:rPr>
          <w:rFonts w:ascii="Arial" w:hAnsi="Arial" w:cs="Arial"/>
          <w:bCs/>
          <w:sz w:val="28"/>
          <w:szCs w:val="28"/>
          <w:lang w:val="en-US"/>
        </w:rPr>
        <w:t xml:space="preserve">and </w:t>
      </w:r>
      <w:r w:rsidRPr="005668B2">
        <w:rPr>
          <w:rFonts w:ascii="Arial" w:hAnsi="Arial" w:cs="Arial"/>
          <w:bCs/>
          <w:sz w:val="28"/>
          <w:szCs w:val="28"/>
          <w:lang w:val="en-US"/>
        </w:rPr>
        <w:t>Oxford University</w:t>
      </w:r>
      <w:r>
        <w:rPr>
          <w:rFonts w:ascii="Arial" w:hAnsi="Arial" w:cs="Arial"/>
          <w:bCs/>
          <w:sz w:val="28"/>
          <w:szCs w:val="28"/>
          <w:lang w:val="en-US"/>
        </w:rPr>
        <w:t>.</w:t>
      </w:r>
    </w:p>
    <w:p w:rsidR="005668B2" w:rsidRPr="005668B2" w:rsidRDefault="005668B2" w:rsidP="005668B2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5668B2">
        <w:rPr>
          <w:rFonts w:ascii="Arial" w:hAnsi="Arial" w:cs="Arial"/>
          <w:bCs/>
          <w:sz w:val="28"/>
          <w:szCs w:val="28"/>
          <w:lang w:val="en-US"/>
        </w:rPr>
        <w:t>He is the author of several publications o</w:t>
      </w:r>
      <w:r w:rsidR="00A66490">
        <w:rPr>
          <w:rFonts w:ascii="Arial" w:hAnsi="Arial" w:cs="Arial"/>
          <w:bCs/>
          <w:sz w:val="28"/>
          <w:szCs w:val="28"/>
          <w:lang w:val="en-US"/>
        </w:rPr>
        <w:t>n</w:t>
      </w:r>
      <w:r w:rsidRPr="005668B2">
        <w:rPr>
          <w:rFonts w:ascii="Arial" w:hAnsi="Arial" w:cs="Arial"/>
          <w:bCs/>
          <w:sz w:val="28"/>
          <w:szCs w:val="28"/>
          <w:lang w:val="en-US"/>
        </w:rPr>
        <w:t xml:space="preserve"> immigration, reform of the Civil Service, National </w:t>
      </w:r>
      <w:r w:rsidR="00731524" w:rsidRPr="005668B2">
        <w:rPr>
          <w:rFonts w:ascii="Arial" w:hAnsi="Arial" w:cs="Arial"/>
          <w:bCs/>
          <w:sz w:val="28"/>
          <w:szCs w:val="28"/>
          <w:lang w:val="en-US"/>
        </w:rPr>
        <w:t>Health</w:t>
      </w:r>
      <w:r w:rsidRPr="005668B2">
        <w:rPr>
          <w:rFonts w:ascii="Arial" w:hAnsi="Arial" w:cs="Arial"/>
          <w:bCs/>
          <w:sz w:val="28"/>
          <w:szCs w:val="28"/>
          <w:lang w:val="en-US"/>
        </w:rPr>
        <w:t xml:space="preserve"> Service an</w:t>
      </w:r>
      <w:r>
        <w:rPr>
          <w:rFonts w:ascii="Arial" w:hAnsi="Arial" w:cs="Arial"/>
          <w:bCs/>
          <w:sz w:val="28"/>
          <w:szCs w:val="28"/>
          <w:lang w:val="en-US"/>
        </w:rPr>
        <w:t xml:space="preserve">d, more recently, on economic and </w:t>
      </w:r>
      <w:r w:rsidR="00731524">
        <w:rPr>
          <w:rFonts w:ascii="Arial" w:hAnsi="Arial" w:cs="Arial"/>
          <w:bCs/>
          <w:sz w:val="28"/>
          <w:szCs w:val="28"/>
          <w:lang w:val="en-US"/>
        </w:rPr>
        <w:t>manufacturing activities</w:t>
      </w:r>
      <w:r>
        <w:rPr>
          <w:rFonts w:ascii="Arial" w:hAnsi="Arial" w:cs="Arial"/>
          <w:bCs/>
          <w:sz w:val="28"/>
          <w:szCs w:val="28"/>
          <w:lang w:val="en-US"/>
        </w:rPr>
        <w:t>.</w:t>
      </w:r>
      <w:bookmarkStart w:id="0" w:name="_GoBack"/>
      <w:bookmarkEnd w:id="0"/>
    </w:p>
    <w:p w:rsidR="004966AD" w:rsidRPr="005668B2" w:rsidRDefault="004966AD">
      <w:pPr>
        <w:rPr>
          <w:lang w:val="en-US"/>
        </w:rPr>
      </w:pPr>
    </w:p>
    <w:sectPr w:rsidR="004966AD" w:rsidRPr="005668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22"/>
    <w:rsid w:val="00045322"/>
    <w:rsid w:val="000668B5"/>
    <w:rsid w:val="00174813"/>
    <w:rsid w:val="004966AD"/>
    <w:rsid w:val="005668B2"/>
    <w:rsid w:val="00731524"/>
    <w:rsid w:val="007864A4"/>
    <w:rsid w:val="00831AD1"/>
    <w:rsid w:val="00890DF4"/>
    <w:rsid w:val="00A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8575"/>
  <w15:chartTrackingRefBased/>
  <w15:docId w15:val="{EE1F1FE7-99B3-4D34-A955-9A6E7F53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5322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Giuseppina Cesari</dc:creator>
  <cp:keywords/>
  <dc:description/>
  <cp:lastModifiedBy>Maria Giuseppina Cesari</cp:lastModifiedBy>
  <cp:revision>2</cp:revision>
  <dcterms:created xsi:type="dcterms:W3CDTF">2023-06-28T12:56:00Z</dcterms:created>
  <dcterms:modified xsi:type="dcterms:W3CDTF">2023-06-28T12:56:00Z</dcterms:modified>
</cp:coreProperties>
</file>