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7A92" w14:textId="77777777" w:rsidR="006F4A99" w:rsidRPr="00353ED4" w:rsidRDefault="00353ED4" w:rsidP="00353ED4">
      <w:pPr>
        <w:pStyle w:val="NormalWeb"/>
        <w:shd w:val="clear" w:color="auto" w:fill="FFFFFF"/>
        <w:spacing w:before="0" w:beforeAutospacing="0" w:after="0" w:afterAutospacing="0"/>
        <w:ind w:left="142"/>
        <w:rPr>
          <w:b/>
          <w:sz w:val="26"/>
          <w:szCs w:val="26"/>
        </w:rPr>
      </w:pPr>
      <w:r w:rsidRPr="00353ED4">
        <w:rPr>
          <w:b/>
          <w:sz w:val="26"/>
          <w:szCs w:val="26"/>
        </w:rPr>
        <w:t>Jacqueline Palumbo</w:t>
      </w:r>
    </w:p>
    <w:p w14:paraId="1304FA86" w14:textId="77777777" w:rsidR="00353ED4" w:rsidRPr="00353ED4" w:rsidRDefault="00353ED4" w:rsidP="00353ED4">
      <w:pPr>
        <w:pStyle w:val="NormalWeb"/>
        <w:shd w:val="clear" w:color="auto" w:fill="FFFFFF"/>
        <w:spacing w:before="0" w:beforeAutospacing="0" w:after="0" w:afterAutospacing="0"/>
        <w:ind w:left="142"/>
        <w:rPr>
          <w:color w:val="616161"/>
          <w:sz w:val="20"/>
          <w:szCs w:val="20"/>
        </w:rPr>
      </w:pPr>
      <w:r w:rsidRPr="00353ED4">
        <w:rPr>
          <w:color w:val="616161"/>
          <w:sz w:val="20"/>
          <w:szCs w:val="20"/>
        </w:rPr>
        <w:t>Head, Treaty Negotiations</w:t>
      </w:r>
    </w:p>
    <w:p w14:paraId="410BA518" w14:textId="77777777" w:rsidR="00353ED4" w:rsidRPr="00353ED4" w:rsidRDefault="00353ED4" w:rsidP="00353ED4">
      <w:pPr>
        <w:pStyle w:val="NormalWeb"/>
        <w:shd w:val="clear" w:color="auto" w:fill="FFFFFF"/>
        <w:spacing w:before="0" w:beforeAutospacing="0" w:after="0" w:afterAutospacing="0"/>
        <w:ind w:left="142"/>
        <w:rPr>
          <w:color w:val="616161"/>
          <w:sz w:val="20"/>
          <w:szCs w:val="20"/>
        </w:rPr>
      </w:pPr>
      <w:r w:rsidRPr="00353ED4">
        <w:rPr>
          <w:color w:val="616161"/>
          <w:sz w:val="20"/>
          <w:szCs w:val="20"/>
        </w:rPr>
        <w:t>International Assistance Group</w:t>
      </w:r>
    </w:p>
    <w:p w14:paraId="76C96F52" w14:textId="77777777" w:rsidR="00353ED4" w:rsidRPr="00353ED4" w:rsidRDefault="00353ED4" w:rsidP="00353ED4">
      <w:pPr>
        <w:pStyle w:val="NormalWeb"/>
        <w:shd w:val="clear" w:color="auto" w:fill="FFFFFF"/>
        <w:spacing w:before="0" w:beforeAutospacing="0" w:after="0" w:afterAutospacing="0"/>
        <w:ind w:left="142"/>
        <w:rPr>
          <w:color w:val="616161"/>
          <w:sz w:val="20"/>
          <w:szCs w:val="20"/>
        </w:rPr>
      </w:pPr>
      <w:r w:rsidRPr="00353ED4">
        <w:rPr>
          <w:color w:val="616161"/>
          <w:sz w:val="20"/>
          <w:szCs w:val="20"/>
        </w:rPr>
        <w:t>Department of Justice Canada</w:t>
      </w:r>
    </w:p>
    <w:p w14:paraId="28C08252" w14:textId="77777777" w:rsidR="006F4A99" w:rsidRPr="00353ED4" w:rsidRDefault="006F4A99" w:rsidP="006F4A99">
      <w:pPr>
        <w:pStyle w:val="NormalWeb"/>
        <w:shd w:val="clear" w:color="auto" w:fill="FFFFFF"/>
        <w:spacing w:before="0" w:beforeAutospacing="0" w:after="300" w:afterAutospacing="0"/>
        <w:jc w:val="both"/>
      </w:pPr>
      <w:r w:rsidRPr="00353ED4">
        <w:rPr>
          <w:noProof/>
        </w:rPr>
        <w:drawing>
          <wp:anchor distT="0" distB="0" distL="114300" distR="114300" simplePos="0" relativeHeight="251659264" behindDoc="0" locked="0" layoutInCell="1" allowOverlap="1" wp14:anchorId="218D898F" wp14:editId="4DE2E899">
            <wp:simplePos x="0" y="0"/>
            <wp:positionH relativeFrom="margin">
              <wp:posOffset>47625</wp:posOffset>
            </wp:positionH>
            <wp:positionV relativeFrom="paragraph">
              <wp:posOffset>49530</wp:posOffset>
            </wp:positionV>
            <wp:extent cx="2239010" cy="2503805"/>
            <wp:effectExtent l="0" t="0" r="8890" b="0"/>
            <wp:wrapSquare wrapText="bothSides"/>
            <wp:docPr id="2" name="Picture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239010" cy="2503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ED4">
        <w:t>Jacqueline Palumbo is Senior General Counsel and Head of Treaty Negotiations in the</w:t>
      </w:r>
      <w:r w:rsidR="00423133" w:rsidRPr="00353ED4">
        <w:t xml:space="preserve"> International Assistance Group</w:t>
      </w:r>
      <w:r w:rsidR="00D4241A" w:rsidRPr="00353ED4">
        <w:t xml:space="preserve"> (IAG)</w:t>
      </w:r>
      <w:r w:rsidR="00423133" w:rsidRPr="00353ED4">
        <w:t>,</w:t>
      </w:r>
      <w:r w:rsidRPr="00353ED4">
        <w:t xml:space="preserve"> National Litigation Sector</w:t>
      </w:r>
      <w:r w:rsidR="00B8652E">
        <w:t xml:space="preserve"> </w:t>
      </w:r>
      <w:r w:rsidRPr="00353ED4">
        <w:t xml:space="preserve">of the Department of Justice Canada. In this role, she manages the negotiation of all international agreements between Canada and its foreign partners in the areas of mutual legal assistance and extradition. </w:t>
      </w:r>
      <w:r w:rsidR="00A31DE3">
        <w:t>Most recently, she participated in the negotiation of the Council of Europe’s</w:t>
      </w:r>
      <w:r w:rsidR="00A31DE3" w:rsidRPr="00A31DE3">
        <w:rPr>
          <w:i/>
        </w:rPr>
        <w:t xml:space="preserve"> Second Additional Protocol to the</w:t>
      </w:r>
      <w:r w:rsidR="00A31DE3">
        <w:rPr>
          <w:i/>
        </w:rPr>
        <w:t xml:space="preserve"> </w:t>
      </w:r>
      <w:r w:rsidR="00A31DE3" w:rsidRPr="00A31DE3">
        <w:rPr>
          <w:i/>
        </w:rPr>
        <w:t>Cybercrime Convention</w:t>
      </w:r>
      <w:r w:rsidR="00A31DE3">
        <w:t xml:space="preserve"> as a member of the Canad</w:t>
      </w:r>
      <w:r w:rsidR="00674D1E">
        <w:t>ian delegation.</w:t>
      </w:r>
      <w:r w:rsidR="00A31DE3">
        <w:t xml:space="preserve">  </w:t>
      </w:r>
    </w:p>
    <w:p w14:paraId="7C543C0F" w14:textId="77777777" w:rsidR="006F4A99" w:rsidRPr="00353ED4" w:rsidRDefault="006F4A99" w:rsidP="006F4A99">
      <w:pPr>
        <w:pStyle w:val="NormalWeb"/>
        <w:shd w:val="clear" w:color="auto" w:fill="FFFFFF"/>
        <w:spacing w:before="0" w:beforeAutospacing="0" w:after="300" w:afterAutospacing="0"/>
        <w:jc w:val="both"/>
      </w:pPr>
      <w:r w:rsidRPr="00353ED4">
        <w:t xml:space="preserve">Ms Palumbo was formerly the Director (Mutual Legal Assistance and Cyber Unit) </w:t>
      </w:r>
      <w:r w:rsidR="00D4241A" w:rsidRPr="00353ED4">
        <w:t xml:space="preserve">at the IAG </w:t>
      </w:r>
      <w:r w:rsidRPr="00353ED4">
        <w:t xml:space="preserve">and oversaw all matters concerning international judicial cooperation in the investigation and prosecution of transnational criminal offences, including cybercrime. She advises the Federal Minister of Justice and </w:t>
      </w:r>
      <w:r w:rsidR="00A31DE3">
        <w:t xml:space="preserve">has appeared </w:t>
      </w:r>
      <w:r w:rsidRPr="00353ED4">
        <w:t xml:space="preserve">on behalf of the Attorney General of Canada in extradition cases before the Canadian courts. She </w:t>
      </w:r>
      <w:r w:rsidR="00D4241A" w:rsidRPr="00353ED4">
        <w:t xml:space="preserve">has represented </w:t>
      </w:r>
      <w:r w:rsidRPr="00353ED4">
        <w:t>Canada in various international fora on counter-terrorism, anti-organized crime and anti-corruption initiatives.</w:t>
      </w:r>
    </w:p>
    <w:p w14:paraId="4690F519" w14:textId="77777777" w:rsidR="00423133" w:rsidRPr="00353ED4" w:rsidRDefault="00423133" w:rsidP="00423133">
      <w:pPr>
        <w:pStyle w:val="NormalWeb"/>
        <w:shd w:val="clear" w:color="auto" w:fill="FFFFFF"/>
        <w:spacing w:before="0" w:beforeAutospacing="0" w:after="0" w:afterAutospacing="0"/>
        <w:jc w:val="both"/>
        <w:rPr>
          <w:bCs/>
        </w:rPr>
      </w:pPr>
      <w:r w:rsidRPr="00353ED4">
        <w:t xml:space="preserve">Ms Palumbo has worked as legal counsel to </w:t>
      </w:r>
      <w:r w:rsidRPr="00353ED4">
        <w:rPr>
          <w:bCs/>
        </w:rPr>
        <w:t>the Assistant Deputy Attorney General (Criminal Law), Federal Prosecution Service</w:t>
      </w:r>
      <w:r w:rsidR="00F017FC" w:rsidRPr="00353ED4">
        <w:rPr>
          <w:bCs/>
        </w:rPr>
        <w:t xml:space="preserve"> (now the Public Prosecution Service of Canada)</w:t>
      </w:r>
      <w:r w:rsidR="00D4241A" w:rsidRPr="00353ED4">
        <w:rPr>
          <w:bCs/>
        </w:rPr>
        <w:t xml:space="preserve">. </w:t>
      </w:r>
      <w:r w:rsidR="00AC03A2">
        <w:rPr>
          <w:bCs/>
        </w:rPr>
        <w:t>S</w:t>
      </w:r>
      <w:r w:rsidRPr="00353ED4">
        <w:rPr>
          <w:bCs/>
        </w:rPr>
        <w:t>he was seconded to the Ottawa Crown Attorney’s Office</w:t>
      </w:r>
      <w:r w:rsidR="00AC03A2">
        <w:rPr>
          <w:bCs/>
        </w:rPr>
        <w:t xml:space="preserve"> for a period of time</w:t>
      </w:r>
      <w:r w:rsidRPr="00353ED4">
        <w:rPr>
          <w:bCs/>
        </w:rPr>
        <w:t xml:space="preserve"> where she prosecuted a wide range of </w:t>
      </w:r>
      <w:r w:rsidRPr="00353ED4">
        <w:rPr>
          <w:bCs/>
          <w:i/>
        </w:rPr>
        <w:t xml:space="preserve">Criminal Code </w:t>
      </w:r>
      <w:r w:rsidRPr="00353ED4">
        <w:rPr>
          <w:bCs/>
        </w:rPr>
        <w:t xml:space="preserve">offences. </w:t>
      </w:r>
    </w:p>
    <w:p w14:paraId="42179E6B" w14:textId="77777777" w:rsidR="00423133" w:rsidRPr="00353ED4" w:rsidRDefault="00423133" w:rsidP="00423133">
      <w:pPr>
        <w:pStyle w:val="NormalWeb"/>
        <w:shd w:val="clear" w:color="auto" w:fill="FFFFFF"/>
        <w:spacing w:before="0" w:beforeAutospacing="0" w:after="0" w:afterAutospacing="0"/>
        <w:jc w:val="both"/>
        <w:rPr>
          <w:bCs/>
        </w:rPr>
      </w:pPr>
    </w:p>
    <w:p w14:paraId="1F253CA6" w14:textId="77777777" w:rsidR="00BA1CAB" w:rsidRPr="00353ED4" w:rsidRDefault="00D4241A" w:rsidP="00423133">
      <w:pPr>
        <w:pStyle w:val="NormalWeb"/>
        <w:shd w:val="clear" w:color="auto" w:fill="FFFFFF"/>
        <w:spacing w:before="0" w:beforeAutospacing="0" w:after="0" w:afterAutospacing="0"/>
        <w:jc w:val="both"/>
        <w:rPr>
          <w:bCs/>
        </w:rPr>
      </w:pPr>
      <w:r w:rsidRPr="00353ED4">
        <w:t>Ms</w:t>
      </w:r>
      <w:r w:rsidR="00423133" w:rsidRPr="00353ED4">
        <w:t xml:space="preserve"> Palumbo was </w:t>
      </w:r>
      <w:r w:rsidR="00423133" w:rsidRPr="00353ED4">
        <w:rPr>
          <w:bCs/>
        </w:rPr>
        <w:t xml:space="preserve">called to the Bar of Ontario in 1995 and </w:t>
      </w:r>
      <w:r w:rsidR="00423133" w:rsidRPr="00353ED4">
        <w:t>holds degrees in Law and Political Science.</w:t>
      </w:r>
    </w:p>
    <w:p w14:paraId="7294749C" w14:textId="77777777" w:rsidR="00BA1CAB" w:rsidRPr="00353ED4" w:rsidRDefault="00BA1CAB" w:rsidP="006F4A99">
      <w:pPr>
        <w:pStyle w:val="Title"/>
        <w:jc w:val="both"/>
        <w:rPr>
          <w:rFonts w:ascii="Times New Roman" w:hAnsi="Times New Roman"/>
          <w:b w:val="0"/>
          <w:bCs/>
          <w:sz w:val="24"/>
          <w:szCs w:val="24"/>
          <w:lang w:val="en-CA"/>
        </w:rPr>
      </w:pPr>
    </w:p>
    <w:p w14:paraId="444A6960" w14:textId="77777777" w:rsidR="00F272AB" w:rsidRPr="00353ED4" w:rsidRDefault="00F272AB" w:rsidP="006F4A99">
      <w:pPr>
        <w:jc w:val="both"/>
        <w:rPr>
          <w:szCs w:val="24"/>
        </w:rPr>
      </w:pPr>
    </w:p>
    <w:p w14:paraId="75B96682" w14:textId="77777777" w:rsidR="00F017FC" w:rsidRPr="00353ED4" w:rsidRDefault="00F017FC">
      <w:pPr>
        <w:jc w:val="both"/>
        <w:rPr>
          <w:szCs w:val="24"/>
        </w:rPr>
      </w:pPr>
    </w:p>
    <w:sectPr w:rsidR="00F017FC" w:rsidRPr="00353ED4" w:rsidSect="00423133">
      <w:pgSz w:w="12240" w:h="15840"/>
      <w:pgMar w:top="1440" w:right="1608" w:bottom="144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891"/>
    <w:rsid w:val="0003565F"/>
    <w:rsid w:val="000450B1"/>
    <w:rsid w:val="000A206C"/>
    <w:rsid w:val="00111220"/>
    <w:rsid w:val="002D6BB3"/>
    <w:rsid w:val="00353ED4"/>
    <w:rsid w:val="004072AA"/>
    <w:rsid w:val="00423133"/>
    <w:rsid w:val="00471DCD"/>
    <w:rsid w:val="004A4982"/>
    <w:rsid w:val="00502262"/>
    <w:rsid w:val="00624D9D"/>
    <w:rsid w:val="00632D0E"/>
    <w:rsid w:val="0067368D"/>
    <w:rsid w:val="00674D1E"/>
    <w:rsid w:val="006A7E48"/>
    <w:rsid w:val="006F4A99"/>
    <w:rsid w:val="00710F78"/>
    <w:rsid w:val="00726CC8"/>
    <w:rsid w:val="0076551A"/>
    <w:rsid w:val="007938CE"/>
    <w:rsid w:val="007C74A5"/>
    <w:rsid w:val="00811EC7"/>
    <w:rsid w:val="00913E45"/>
    <w:rsid w:val="00952D6E"/>
    <w:rsid w:val="00980F33"/>
    <w:rsid w:val="009D2913"/>
    <w:rsid w:val="009D6406"/>
    <w:rsid w:val="00A31DE3"/>
    <w:rsid w:val="00AC03A2"/>
    <w:rsid w:val="00AE0629"/>
    <w:rsid w:val="00B22766"/>
    <w:rsid w:val="00B26D4E"/>
    <w:rsid w:val="00B8652E"/>
    <w:rsid w:val="00BA1CAB"/>
    <w:rsid w:val="00C24557"/>
    <w:rsid w:val="00CA732B"/>
    <w:rsid w:val="00CC2891"/>
    <w:rsid w:val="00D4241A"/>
    <w:rsid w:val="00D556CB"/>
    <w:rsid w:val="00DC637A"/>
    <w:rsid w:val="00E001F6"/>
    <w:rsid w:val="00F017FC"/>
    <w:rsid w:val="00F272AB"/>
    <w:rsid w:val="00F7647A"/>
    <w:rsid w:val="00FC5F91"/>
    <w:rsid w:val="00FD540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4E6AA"/>
  <w15:docId w15:val="{8955D847-61B2-49D2-8737-ED564D94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1CAB"/>
    <w:pPr>
      <w:jc w:val="center"/>
    </w:pPr>
    <w:rPr>
      <w:rFonts w:ascii="Tahoma" w:hAnsi="Tahoma"/>
      <w:b/>
      <w:sz w:val="32"/>
      <w:lang w:val="fr-CA"/>
    </w:rPr>
  </w:style>
  <w:style w:type="character" w:customStyle="1" w:styleId="TitleChar">
    <w:name w:val="Title Char"/>
    <w:basedOn w:val="DefaultParagraphFont"/>
    <w:link w:val="Title"/>
    <w:rsid w:val="00BA1CAB"/>
    <w:rPr>
      <w:rFonts w:ascii="Tahoma" w:hAnsi="Tahoma"/>
      <w:b/>
      <w:sz w:val="32"/>
      <w:lang w:val="fr-CA" w:eastAsia="en-US"/>
    </w:rPr>
  </w:style>
  <w:style w:type="paragraph" w:styleId="NormalWeb">
    <w:name w:val="Normal (Web)"/>
    <w:basedOn w:val="Normal"/>
    <w:uiPriority w:val="99"/>
    <w:unhideWhenUsed/>
    <w:rsid w:val="006F4A99"/>
    <w:pPr>
      <w:spacing w:before="100" w:beforeAutospacing="1" w:after="100" w:afterAutospacing="1"/>
    </w:pPr>
    <w:rPr>
      <w:szCs w:val="24"/>
      <w:lang w:val="en-CA" w:eastAsia="en-CA"/>
    </w:rPr>
  </w:style>
  <w:style w:type="paragraph" w:styleId="BalloonText">
    <w:name w:val="Balloon Text"/>
    <w:basedOn w:val="Normal"/>
    <w:link w:val="BalloonTextChar"/>
    <w:semiHidden/>
    <w:unhideWhenUsed/>
    <w:rsid w:val="00FC5F91"/>
    <w:rPr>
      <w:rFonts w:ascii="Segoe UI" w:hAnsi="Segoe UI" w:cs="Segoe UI"/>
      <w:sz w:val="18"/>
      <w:szCs w:val="18"/>
    </w:rPr>
  </w:style>
  <w:style w:type="character" w:customStyle="1" w:styleId="BalloonTextChar">
    <w:name w:val="Balloon Text Char"/>
    <w:basedOn w:val="DefaultParagraphFont"/>
    <w:link w:val="BalloonText"/>
    <w:semiHidden/>
    <w:rsid w:val="00FC5F9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7D562.293D18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Normand Wong – Counsel/Policy Advisor – Criminal Law Policy Section: Normand arrived at Criminal Law Policy in March of 2000 with a view to working on computer crime issues</vt:lpstr>
    </vt:vector>
  </TitlesOfParts>
  <Company>DOJ</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Normand Wong – Counsel/Policy Advisor – Criminal Law Policy Section: Normand arrived at Criminal Law Policy in March of 2000 with a view to working on computer crime issues</dc:title>
  <dc:creator>Normand Wong, CLPS</dc:creator>
  <cp:lastModifiedBy>General Counsel</cp:lastModifiedBy>
  <cp:revision>5</cp:revision>
  <cp:lastPrinted>2023-08-25T18:47:00Z</cp:lastPrinted>
  <dcterms:created xsi:type="dcterms:W3CDTF">2023-08-25T18:49:00Z</dcterms:created>
  <dcterms:modified xsi:type="dcterms:W3CDTF">2023-09-01T09:28:00Z</dcterms:modified>
</cp:coreProperties>
</file>